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36D3C" w14:textId="4E11F223" w:rsidR="006E1B99" w:rsidRPr="00823950" w:rsidRDefault="35F92EDE" w:rsidP="003E7467">
      <w:pPr>
        <w:pStyle w:val="Titre1"/>
        <w:pBdr>
          <w:bottom w:val="single" w:sz="6" w:space="1" w:color="auto"/>
        </w:pBdr>
        <w:spacing w:before="0" w:line="250" w:lineRule="auto"/>
        <w:rPr>
          <w:sz w:val="28"/>
          <w:szCs w:val="28"/>
        </w:rPr>
      </w:pPr>
      <w:r w:rsidRPr="00823950">
        <w:rPr>
          <w:sz w:val="28"/>
          <w:szCs w:val="28"/>
        </w:rPr>
        <w:t xml:space="preserve">Consultation publique de la Commission de régulation de l’énergie du 26 février 2026 relative à la mise en </w:t>
      </w:r>
      <w:r w:rsidR="62EB100F" w:rsidRPr="00823950">
        <w:rPr>
          <w:sz w:val="28"/>
          <w:szCs w:val="28"/>
        </w:rPr>
        <w:t>œuvre</w:t>
      </w:r>
      <w:r w:rsidRPr="00823950">
        <w:rPr>
          <w:sz w:val="28"/>
          <w:szCs w:val="28"/>
        </w:rPr>
        <w:t xml:space="preserve"> de la péréquation nationale des tarifs de distribution de gaz naturel</w:t>
      </w:r>
      <w:r w:rsidRPr="00823950">
        <w:rPr>
          <w:b/>
          <w:bCs/>
          <w:sz w:val="28"/>
          <w:szCs w:val="28"/>
        </w:rPr>
        <w:t xml:space="preserve"> </w:t>
      </w:r>
      <w:r w:rsidR="55E78CA8" w:rsidRPr="00823950">
        <w:rPr>
          <w:sz w:val="28"/>
          <w:szCs w:val="28"/>
        </w:rPr>
        <w:t>Réponses ENGIE</w:t>
      </w:r>
    </w:p>
    <w:p w14:paraId="3A728ED8" w14:textId="77777777" w:rsidR="00314AFC" w:rsidRDefault="00314AFC" w:rsidP="00221873">
      <w:pPr>
        <w:jc w:val="both"/>
        <w:rPr>
          <w:rFonts w:ascii="Calibri" w:eastAsia="Calibri" w:hAnsi="Calibri" w:cs="Calibri"/>
          <w:color w:val="000000" w:themeColor="text1"/>
          <w:sz w:val="22"/>
          <w:szCs w:val="22"/>
        </w:rPr>
      </w:pPr>
    </w:p>
    <w:p w14:paraId="78C45D94" w14:textId="56798608" w:rsidR="00DE6C5C" w:rsidRPr="004B1112" w:rsidRDefault="00DE6C5C" w:rsidP="00221873">
      <w:pPr>
        <w:jc w:val="both"/>
        <w:rPr>
          <w:rFonts w:ascii="Calibri" w:eastAsia="Calibri" w:hAnsi="Calibri" w:cs="Calibri"/>
          <w:color w:val="000000" w:themeColor="text1"/>
          <w:sz w:val="22"/>
          <w:szCs w:val="22"/>
        </w:rPr>
      </w:pPr>
      <w:r w:rsidRPr="004B1112">
        <w:rPr>
          <w:rFonts w:ascii="Calibri" w:eastAsia="Calibri" w:hAnsi="Calibri" w:cs="Calibri"/>
          <w:color w:val="000000" w:themeColor="text1"/>
          <w:sz w:val="22"/>
          <w:szCs w:val="22"/>
        </w:rPr>
        <w:t xml:space="preserve">ENGIE remercie les services de la CRE pour </w:t>
      </w:r>
      <w:r w:rsidR="00314089" w:rsidRPr="004B1112">
        <w:rPr>
          <w:rFonts w:ascii="Calibri" w:eastAsia="Calibri" w:hAnsi="Calibri" w:cs="Calibri"/>
          <w:color w:val="000000" w:themeColor="text1"/>
          <w:sz w:val="22"/>
          <w:szCs w:val="22"/>
        </w:rPr>
        <w:t>cette consultation sur la péréquation d</w:t>
      </w:r>
      <w:r w:rsidR="00F83534" w:rsidRPr="004B1112">
        <w:rPr>
          <w:rFonts w:ascii="Calibri" w:eastAsia="Calibri" w:hAnsi="Calibri" w:cs="Calibri"/>
          <w:color w:val="000000" w:themeColor="text1"/>
          <w:sz w:val="22"/>
          <w:szCs w:val="22"/>
        </w:rPr>
        <w:t>es</w:t>
      </w:r>
      <w:r w:rsidR="00314089" w:rsidRPr="004B1112">
        <w:rPr>
          <w:rFonts w:ascii="Calibri" w:eastAsia="Calibri" w:hAnsi="Calibri" w:cs="Calibri"/>
          <w:color w:val="000000" w:themeColor="text1"/>
          <w:sz w:val="22"/>
          <w:szCs w:val="22"/>
        </w:rPr>
        <w:t xml:space="preserve"> </w:t>
      </w:r>
      <w:r w:rsidR="00575DED">
        <w:rPr>
          <w:rFonts w:ascii="Calibri" w:eastAsia="Calibri" w:hAnsi="Calibri" w:cs="Calibri"/>
          <w:color w:val="000000" w:themeColor="text1"/>
          <w:sz w:val="22"/>
          <w:szCs w:val="22"/>
        </w:rPr>
        <w:t>t</w:t>
      </w:r>
      <w:r w:rsidR="00314089" w:rsidRPr="004B1112">
        <w:rPr>
          <w:rFonts w:ascii="Calibri" w:eastAsia="Calibri" w:hAnsi="Calibri" w:cs="Calibri"/>
          <w:color w:val="000000" w:themeColor="text1"/>
          <w:sz w:val="22"/>
          <w:szCs w:val="22"/>
        </w:rPr>
        <w:t>arif</w:t>
      </w:r>
      <w:r w:rsidR="00F83534" w:rsidRPr="004B1112">
        <w:rPr>
          <w:rFonts w:ascii="Calibri" w:eastAsia="Calibri" w:hAnsi="Calibri" w:cs="Calibri"/>
          <w:color w:val="000000" w:themeColor="text1"/>
          <w:sz w:val="22"/>
          <w:szCs w:val="22"/>
        </w:rPr>
        <w:t>s</w:t>
      </w:r>
      <w:r w:rsidR="00314089" w:rsidRPr="004B1112">
        <w:rPr>
          <w:rFonts w:ascii="Calibri" w:eastAsia="Calibri" w:hAnsi="Calibri" w:cs="Calibri"/>
          <w:color w:val="000000" w:themeColor="text1"/>
          <w:sz w:val="22"/>
          <w:szCs w:val="22"/>
        </w:rPr>
        <w:t xml:space="preserve"> ATRD</w:t>
      </w:r>
      <w:r w:rsidR="00F83534" w:rsidRPr="004B1112">
        <w:rPr>
          <w:rFonts w:ascii="Calibri" w:eastAsia="Calibri" w:hAnsi="Calibri" w:cs="Calibri"/>
          <w:color w:val="000000" w:themeColor="text1"/>
          <w:sz w:val="22"/>
          <w:szCs w:val="22"/>
        </w:rPr>
        <w:t>.</w:t>
      </w:r>
    </w:p>
    <w:p w14:paraId="7EB65963" w14:textId="1132A0BC" w:rsidR="006E1B99" w:rsidRPr="004B1112" w:rsidRDefault="00171D77" w:rsidP="00221873">
      <w:pPr>
        <w:jc w:val="both"/>
        <w:rPr>
          <w:rFonts w:ascii="Calibri" w:eastAsia="Calibri" w:hAnsi="Calibri" w:cs="Calibri"/>
          <w:color w:val="000000" w:themeColor="text1"/>
          <w:sz w:val="22"/>
          <w:szCs w:val="22"/>
        </w:rPr>
      </w:pPr>
      <w:r>
        <w:rPr>
          <w:rFonts w:ascii="Calibri" w:eastAsia="Calibri" w:hAnsi="Calibri" w:cs="Calibri"/>
          <w:color w:val="000000" w:themeColor="text1"/>
          <w:sz w:val="22"/>
          <w:szCs w:val="22"/>
        </w:rPr>
        <w:t>ENGIE</w:t>
      </w:r>
      <w:r w:rsidR="004D35DD" w:rsidRPr="004B1112">
        <w:rPr>
          <w:rFonts w:ascii="Calibri" w:eastAsia="Calibri" w:hAnsi="Calibri" w:cs="Calibri"/>
          <w:color w:val="000000" w:themeColor="text1"/>
          <w:sz w:val="22"/>
          <w:szCs w:val="22"/>
        </w:rPr>
        <w:t xml:space="preserve"> souhaite </w:t>
      </w:r>
      <w:r w:rsidR="0059674E">
        <w:rPr>
          <w:rFonts w:ascii="Calibri" w:eastAsia="Calibri" w:hAnsi="Calibri" w:cs="Calibri"/>
          <w:color w:val="000000" w:themeColor="text1"/>
          <w:sz w:val="22"/>
          <w:szCs w:val="22"/>
        </w:rPr>
        <w:t>e</w:t>
      </w:r>
      <w:r w:rsidR="00AD4BD2">
        <w:rPr>
          <w:rFonts w:ascii="Calibri" w:eastAsia="Calibri" w:hAnsi="Calibri" w:cs="Calibri"/>
          <w:color w:val="000000" w:themeColor="text1"/>
          <w:sz w:val="22"/>
          <w:szCs w:val="22"/>
        </w:rPr>
        <w:t>xprimer q</w:t>
      </w:r>
      <w:r w:rsidR="00BE3A41">
        <w:rPr>
          <w:rFonts w:ascii="Calibri" w:eastAsia="Calibri" w:hAnsi="Calibri" w:cs="Calibri"/>
          <w:color w:val="000000" w:themeColor="text1"/>
          <w:sz w:val="22"/>
          <w:szCs w:val="22"/>
        </w:rPr>
        <w:t xml:space="preserve">uelques </w:t>
      </w:r>
      <w:r w:rsidR="0070480D">
        <w:rPr>
          <w:rFonts w:ascii="Calibri" w:eastAsia="Calibri" w:hAnsi="Calibri" w:cs="Calibri"/>
          <w:color w:val="000000" w:themeColor="text1"/>
          <w:sz w:val="22"/>
          <w:szCs w:val="22"/>
        </w:rPr>
        <w:t>commentaires</w:t>
      </w:r>
      <w:r w:rsidR="00C53277">
        <w:rPr>
          <w:rFonts w:ascii="Calibri" w:eastAsia="Calibri" w:hAnsi="Calibri" w:cs="Calibri"/>
          <w:color w:val="000000" w:themeColor="text1"/>
          <w:sz w:val="22"/>
          <w:szCs w:val="22"/>
        </w:rPr>
        <w:t xml:space="preserve"> l</w:t>
      </w:r>
      <w:r w:rsidR="005762F4">
        <w:rPr>
          <w:rFonts w:ascii="Calibri" w:eastAsia="Calibri" w:hAnsi="Calibri" w:cs="Calibri"/>
          <w:color w:val="000000" w:themeColor="text1"/>
          <w:sz w:val="22"/>
          <w:szCs w:val="22"/>
        </w:rPr>
        <w:t>imi</w:t>
      </w:r>
      <w:r w:rsidR="004F6832">
        <w:rPr>
          <w:rFonts w:ascii="Calibri" w:eastAsia="Calibri" w:hAnsi="Calibri" w:cs="Calibri"/>
          <w:color w:val="000000" w:themeColor="text1"/>
          <w:sz w:val="22"/>
          <w:szCs w:val="22"/>
        </w:rPr>
        <w:t>naires</w:t>
      </w:r>
      <w:r w:rsidR="004D35DD" w:rsidRPr="004B1112">
        <w:rPr>
          <w:rFonts w:ascii="Calibri" w:eastAsia="Calibri" w:hAnsi="Calibri" w:cs="Calibri"/>
          <w:color w:val="000000" w:themeColor="text1"/>
          <w:sz w:val="22"/>
          <w:szCs w:val="22"/>
        </w:rPr>
        <w:t xml:space="preserve"> </w:t>
      </w:r>
      <w:r w:rsidR="00A33909">
        <w:rPr>
          <w:rFonts w:ascii="Calibri" w:eastAsia="Calibri" w:hAnsi="Calibri" w:cs="Calibri"/>
          <w:color w:val="000000" w:themeColor="text1"/>
          <w:sz w:val="22"/>
          <w:szCs w:val="22"/>
        </w:rPr>
        <w:t>en l</w:t>
      </w:r>
      <w:r w:rsidR="000155DC">
        <w:rPr>
          <w:rFonts w:ascii="Calibri" w:eastAsia="Calibri" w:hAnsi="Calibri" w:cs="Calibri"/>
          <w:color w:val="000000" w:themeColor="text1"/>
          <w:sz w:val="22"/>
          <w:szCs w:val="22"/>
        </w:rPr>
        <w:t>ien a</w:t>
      </w:r>
      <w:r w:rsidR="00513D4D">
        <w:rPr>
          <w:rFonts w:ascii="Calibri" w:eastAsia="Calibri" w:hAnsi="Calibri" w:cs="Calibri"/>
          <w:color w:val="000000" w:themeColor="text1"/>
          <w:sz w:val="22"/>
          <w:szCs w:val="22"/>
        </w:rPr>
        <w:t>ve</w:t>
      </w:r>
      <w:r w:rsidR="001B3B68">
        <w:rPr>
          <w:rFonts w:ascii="Calibri" w:eastAsia="Calibri" w:hAnsi="Calibri" w:cs="Calibri"/>
          <w:color w:val="000000" w:themeColor="text1"/>
          <w:sz w:val="22"/>
          <w:szCs w:val="22"/>
        </w:rPr>
        <w:t>c l</w:t>
      </w:r>
      <w:r w:rsidR="00464CDE">
        <w:rPr>
          <w:rFonts w:ascii="Calibri" w:eastAsia="Calibri" w:hAnsi="Calibri" w:cs="Calibri"/>
          <w:color w:val="000000" w:themeColor="text1"/>
          <w:sz w:val="22"/>
          <w:szCs w:val="22"/>
        </w:rPr>
        <w:t>’</w:t>
      </w:r>
      <w:r w:rsidR="000A3D64">
        <w:rPr>
          <w:rFonts w:ascii="Calibri" w:eastAsia="Calibri" w:hAnsi="Calibri" w:cs="Calibri"/>
          <w:color w:val="000000" w:themeColor="text1"/>
          <w:sz w:val="22"/>
          <w:szCs w:val="22"/>
        </w:rPr>
        <w:t xml:space="preserve">objet de </w:t>
      </w:r>
      <w:r w:rsidR="00F502C2">
        <w:rPr>
          <w:rFonts w:ascii="Calibri" w:eastAsia="Calibri" w:hAnsi="Calibri" w:cs="Calibri"/>
          <w:color w:val="000000" w:themeColor="text1"/>
          <w:sz w:val="22"/>
          <w:szCs w:val="22"/>
        </w:rPr>
        <w:t>cette cons</w:t>
      </w:r>
      <w:r w:rsidR="00D52000">
        <w:rPr>
          <w:rFonts w:ascii="Calibri" w:eastAsia="Calibri" w:hAnsi="Calibri" w:cs="Calibri"/>
          <w:color w:val="000000" w:themeColor="text1"/>
          <w:sz w:val="22"/>
          <w:szCs w:val="22"/>
        </w:rPr>
        <w:t>ultation et la</w:t>
      </w:r>
      <w:r w:rsidR="004D35DD" w:rsidRPr="004B1112">
        <w:rPr>
          <w:rFonts w:ascii="Calibri" w:eastAsia="Calibri" w:hAnsi="Calibri" w:cs="Calibri"/>
          <w:color w:val="000000" w:themeColor="text1"/>
          <w:sz w:val="22"/>
          <w:szCs w:val="22"/>
        </w:rPr>
        <w:t xml:space="preserve"> péréquation des tarifs de distribution de gaz.</w:t>
      </w:r>
    </w:p>
    <w:p w14:paraId="3237A4FD" w14:textId="4A0AA427" w:rsidR="001D3CC6" w:rsidRPr="00A93EEE" w:rsidRDefault="004D35DD" w:rsidP="00850E72">
      <w:pPr>
        <w:pStyle w:val="Paragraphedeliste"/>
        <w:numPr>
          <w:ilvl w:val="0"/>
          <w:numId w:val="9"/>
        </w:numPr>
        <w:jc w:val="both"/>
        <w:rPr>
          <w:rFonts w:ascii="Calibri" w:eastAsia="Calibri" w:hAnsi="Calibri" w:cs="Calibri"/>
          <w:sz w:val="22"/>
          <w:szCs w:val="22"/>
        </w:rPr>
      </w:pPr>
      <w:r w:rsidRPr="004B1112">
        <w:rPr>
          <w:rFonts w:ascii="Calibri" w:eastAsia="Calibri" w:hAnsi="Calibri" w:cs="Calibri"/>
          <w:color w:val="000000" w:themeColor="text1"/>
          <w:sz w:val="22"/>
          <w:szCs w:val="22"/>
        </w:rPr>
        <w:t xml:space="preserve">La loi </w:t>
      </w:r>
      <w:r w:rsidR="00A54215" w:rsidRPr="004B1112">
        <w:rPr>
          <w:rFonts w:ascii="Calibri" w:eastAsia="Calibri" w:hAnsi="Calibri" w:cs="Calibri"/>
          <w:color w:val="000000" w:themeColor="text1"/>
          <w:sz w:val="22"/>
          <w:szCs w:val="22"/>
        </w:rPr>
        <w:t>à l’origine de la péréquation a anticipé le risque qu</w:t>
      </w:r>
      <w:r w:rsidR="008A32D8" w:rsidRPr="004B1112">
        <w:rPr>
          <w:rFonts w:ascii="Calibri" w:eastAsia="Calibri" w:hAnsi="Calibri" w:cs="Calibri"/>
          <w:color w:val="000000" w:themeColor="text1"/>
          <w:sz w:val="22"/>
          <w:szCs w:val="22"/>
        </w:rPr>
        <w:t>’un tarif national</w:t>
      </w:r>
      <w:r w:rsidR="001F154B" w:rsidRPr="004B1112">
        <w:rPr>
          <w:rFonts w:ascii="Calibri" w:eastAsia="Calibri" w:hAnsi="Calibri" w:cs="Calibri"/>
          <w:color w:val="000000" w:themeColor="text1"/>
          <w:sz w:val="22"/>
          <w:szCs w:val="22"/>
        </w:rPr>
        <w:t xml:space="preserve"> contribue à </w:t>
      </w:r>
      <w:r w:rsidR="008A32D8" w:rsidRPr="004B1112">
        <w:rPr>
          <w:rFonts w:ascii="Calibri" w:eastAsia="Calibri" w:hAnsi="Calibri" w:cs="Calibri"/>
          <w:color w:val="000000" w:themeColor="text1"/>
          <w:sz w:val="22"/>
          <w:szCs w:val="22"/>
        </w:rPr>
        <w:t>désincite</w:t>
      </w:r>
      <w:r w:rsidR="001F154B" w:rsidRPr="004B1112">
        <w:rPr>
          <w:rFonts w:ascii="Calibri" w:eastAsia="Calibri" w:hAnsi="Calibri" w:cs="Calibri"/>
          <w:color w:val="000000" w:themeColor="text1"/>
          <w:sz w:val="22"/>
          <w:szCs w:val="22"/>
        </w:rPr>
        <w:t>r</w:t>
      </w:r>
      <w:r w:rsidR="008A32D8" w:rsidRPr="004B1112">
        <w:rPr>
          <w:rFonts w:ascii="Calibri" w:eastAsia="Calibri" w:hAnsi="Calibri" w:cs="Calibri"/>
          <w:color w:val="000000" w:themeColor="text1"/>
          <w:sz w:val="22"/>
          <w:szCs w:val="22"/>
        </w:rPr>
        <w:t xml:space="preserve"> les gestionnaires </w:t>
      </w:r>
      <w:r w:rsidR="008A32D8" w:rsidRPr="00A93EEE">
        <w:rPr>
          <w:rFonts w:ascii="Calibri" w:eastAsia="Calibri" w:hAnsi="Calibri" w:cs="Calibri"/>
          <w:sz w:val="22"/>
          <w:szCs w:val="22"/>
        </w:rPr>
        <w:t xml:space="preserve">locaux de distribution à optimiser leurs coûts et </w:t>
      </w:r>
      <w:r w:rsidR="001F154B" w:rsidRPr="00A93EEE">
        <w:rPr>
          <w:rFonts w:ascii="Calibri" w:eastAsia="Calibri" w:hAnsi="Calibri" w:cs="Calibri"/>
          <w:sz w:val="22"/>
          <w:szCs w:val="22"/>
        </w:rPr>
        <w:t xml:space="preserve">à </w:t>
      </w:r>
      <w:r w:rsidR="00C96F69" w:rsidRPr="00A93EEE">
        <w:rPr>
          <w:rFonts w:ascii="Calibri" w:eastAsia="Calibri" w:hAnsi="Calibri" w:cs="Calibri"/>
          <w:sz w:val="22"/>
          <w:szCs w:val="22"/>
        </w:rPr>
        <w:t xml:space="preserve">leurs investissements. </w:t>
      </w:r>
      <w:r w:rsidR="008A32D8" w:rsidRPr="00A93EEE">
        <w:rPr>
          <w:rFonts w:ascii="Calibri" w:eastAsia="Calibri" w:hAnsi="Calibri" w:cs="Calibri"/>
          <w:sz w:val="22"/>
          <w:szCs w:val="22"/>
        </w:rPr>
        <w:t xml:space="preserve"> </w:t>
      </w:r>
      <w:r w:rsidR="00C96F69" w:rsidRPr="00A93EEE">
        <w:rPr>
          <w:rFonts w:ascii="Calibri" w:eastAsia="Calibri" w:hAnsi="Calibri" w:cs="Calibri"/>
          <w:sz w:val="22"/>
          <w:szCs w:val="22"/>
        </w:rPr>
        <w:t xml:space="preserve">Elle prévoit et mentionne donc </w:t>
      </w:r>
      <w:r w:rsidR="00A54215" w:rsidRPr="00A93EEE">
        <w:rPr>
          <w:rFonts w:ascii="Calibri" w:eastAsia="Calibri" w:hAnsi="Calibri" w:cs="Calibri"/>
          <w:sz w:val="22"/>
          <w:szCs w:val="22"/>
        </w:rPr>
        <w:t>que les</w:t>
      </w:r>
      <w:r w:rsidR="001D3CC6" w:rsidRPr="00A93EEE">
        <w:rPr>
          <w:rFonts w:ascii="Calibri" w:eastAsia="Calibri" w:hAnsi="Calibri" w:cs="Calibri"/>
          <w:sz w:val="22"/>
          <w:szCs w:val="22"/>
        </w:rPr>
        <w:t xml:space="preserve"> investissements réalisés par les </w:t>
      </w:r>
      <w:r w:rsidRPr="00A93EEE">
        <w:rPr>
          <w:rFonts w:ascii="Calibri" w:eastAsia="Calibri" w:hAnsi="Calibri" w:cs="Calibri"/>
          <w:sz w:val="22"/>
          <w:szCs w:val="22"/>
        </w:rPr>
        <w:t xml:space="preserve">gestionnaires locaux de distribution </w:t>
      </w:r>
      <w:r w:rsidR="00A54215" w:rsidRPr="00A93EEE">
        <w:rPr>
          <w:rFonts w:ascii="Calibri" w:eastAsia="Calibri" w:hAnsi="Calibri" w:cs="Calibri"/>
          <w:sz w:val="22"/>
          <w:szCs w:val="22"/>
        </w:rPr>
        <w:t xml:space="preserve">seront contrôlés. </w:t>
      </w:r>
      <w:r w:rsidR="001D3CC6" w:rsidRPr="00A93EEE">
        <w:rPr>
          <w:rFonts w:ascii="Calibri" w:eastAsia="Calibri" w:hAnsi="Calibri" w:cs="Calibri"/>
          <w:sz w:val="22"/>
          <w:szCs w:val="22"/>
        </w:rPr>
        <w:t xml:space="preserve">La consultation publique de la CRE </w:t>
      </w:r>
      <w:r w:rsidR="00C96F69" w:rsidRPr="00A93EEE">
        <w:rPr>
          <w:rFonts w:ascii="Calibri" w:eastAsia="Calibri" w:hAnsi="Calibri" w:cs="Calibri"/>
          <w:sz w:val="22"/>
          <w:szCs w:val="22"/>
        </w:rPr>
        <w:t>n’aborde pas</w:t>
      </w:r>
      <w:r w:rsidR="001D3CC6" w:rsidRPr="00A93EEE">
        <w:rPr>
          <w:rFonts w:ascii="Calibri" w:eastAsia="Calibri" w:hAnsi="Calibri" w:cs="Calibri"/>
          <w:sz w:val="22"/>
          <w:szCs w:val="22"/>
        </w:rPr>
        <w:t xml:space="preserve"> ce volet. Comment la CRE compte-t-elle concrètement jouer ce rôle de </w:t>
      </w:r>
      <w:r w:rsidR="00C96F69" w:rsidRPr="00A93EEE">
        <w:rPr>
          <w:rFonts w:ascii="Calibri" w:eastAsia="Calibri" w:hAnsi="Calibri" w:cs="Calibri"/>
          <w:sz w:val="22"/>
          <w:szCs w:val="22"/>
        </w:rPr>
        <w:t>contrôle</w:t>
      </w:r>
      <w:r w:rsidR="001D3CC6" w:rsidRPr="00A93EEE">
        <w:rPr>
          <w:rFonts w:ascii="Calibri" w:eastAsia="Calibri" w:hAnsi="Calibri" w:cs="Calibri"/>
          <w:sz w:val="22"/>
          <w:szCs w:val="22"/>
        </w:rPr>
        <w:t> ?</w:t>
      </w:r>
      <w:r w:rsidR="0054318E">
        <w:rPr>
          <w:rFonts w:ascii="Calibri" w:eastAsia="Calibri" w:hAnsi="Calibri" w:cs="Calibri"/>
          <w:sz w:val="22"/>
          <w:szCs w:val="22"/>
        </w:rPr>
        <w:t xml:space="preserve"> Il</w:t>
      </w:r>
      <w:r w:rsidR="0020681A">
        <w:rPr>
          <w:rFonts w:ascii="Calibri" w:eastAsia="Calibri" w:hAnsi="Calibri" w:cs="Calibri"/>
          <w:sz w:val="22"/>
          <w:szCs w:val="22"/>
        </w:rPr>
        <w:t xml:space="preserve"> paraît important q</w:t>
      </w:r>
      <w:r w:rsidR="00CD721F">
        <w:rPr>
          <w:rFonts w:ascii="Calibri" w:eastAsia="Calibri" w:hAnsi="Calibri" w:cs="Calibri"/>
          <w:sz w:val="22"/>
          <w:szCs w:val="22"/>
        </w:rPr>
        <w:t xml:space="preserve">ue les </w:t>
      </w:r>
      <w:r w:rsidR="0016010A">
        <w:rPr>
          <w:rFonts w:ascii="Calibri" w:eastAsia="Calibri" w:hAnsi="Calibri" w:cs="Calibri"/>
          <w:sz w:val="22"/>
          <w:szCs w:val="22"/>
        </w:rPr>
        <w:t xml:space="preserve">GRD </w:t>
      </w:r>
      <w:r w:rsidR="00344BAB">
        <w:rPr>
          <w:rFonts w:ascii="Calibri" w:eastAsia="Calibri" w:hAnsi="Calibri" w:cs="Calibri"/>
          <w:sz w:val="22"/>
          <w:szCs w:val="22"/>
        </w:rPr>
        <w:t>rest</w:t>
      </w:r>
      <w:r w:rsidR="002538BA">
        <w:rPr>
          <w:rFonts w:ascii="Calibri" w:eastAsia="Calibri" w:hAnsi="Calibri" w:cs="Calibri"/>
          <w:sz w:val="22"/>
          <w:szCs w:val="22"/>
        </w:rPr>
        <w:t>e</w:t>
      </w:r>
      <w:r w:rsidR="00831E74">
        <w:rPr>
          <w:rFonts w:ascii="Calibri" w:eastAsia="Calibri" w:hAnsi="Calibri" w:cs="Calibri"/>
          <w:sz w:val="22"/>
          <w:szCs w:val="22"/>
        </w:rPr>
        <w:t>nt encadr</w:t>
      </w:r>
      <w:r w:rsidR="008A7CC5">
        <w:rPr>
          <w:rFonts w:ascii="Calibri" w:eastAsia="Calibri" w:hAnsi="Calibri" w:cs="Calibri"/>
          <w:sz w:val="22"/>
          <w:szCs w:val="22"/>
        </w:rPr>
        <w:t>és par u</w:t>
      </w:r>
      <w:r w:rsidR="002101DF">
        <w:rPr>
          <w:rFonts w:ascii="Calibri" w:eastAsia="Calibri" w:hAnsi="Calibri" w:cs="Calibri"/>
          <w:sz w:val="22"/>
          <w:szCs w:val="22"/>
        </w:rPr>
        <w:t xml:space="preserve">ne régulation </w:t>
      </w:r>
      <w:r w:rsidR="000406D2">
        <w:rPr>
          <w:rFonts w:ascii="Calibri" w:eastAsia="Calibri" w:hAnsi="Calibri" w:cs="Calibri"/>
          <w:sz w:val="22"/>
          <w:szCs w:val="22"/>
        </w:rPr>
        <w:t>incitat</w:t>
      </w:r>
      <w:r w:rsidR="00350FFD">
        <w:rPr>
          <w:rFonts w:ascii="Calibri" w:eastAsia="Calibri" w:hAnsi="Calibri" w:cs="Calibri"/>
          <w:sz w:val="22"/>
          <w:szCs w:val="22"/>
        </w:rPr>
        <w:t xml:space="preserve">ive </w:t>
      </w:r>
      <w:r w:rsidR="00B1100E">
        <w:rPr>
          <w:rFonts w:ascii="Calibri" w:eastAsia="Calibri" w:hAnsi="Calibri" w:cs="Calibri"/>
          <w:sz w:val="22"/>
          <w:szCs w:val="22"/>
        </w:rPr>
        <w:t>propre à favoriser</w:t>
      </w:r>
      <w:r w:rsidR="00614FE2">
        <w:rPr>
          <w:rFonts w:ascii="Calibri" w:eastAsia="Calibri" w:hAnsi="Calibri" w:cs="Calibri"/>
          <w:sz w:val="22"/>
          <w:szCs w:val="22"/>
        </w:rPr>
        <w:t xml:space="preserve"> l’eff</w:t>
      </w:r>
      <w:r w:rsidR="006D4FFE">
        <w:rPr>
          <w:rFonts w:ascii="Calibri" w:eastAsia="Calibri" w:hAnsi="Calibri" w:cs="Calibri"/>
          <w:sz w:val="22"/>
          <w:szCs w:val="22"/>
        </w:rPr>
        <w:t>ici</w:t>
      </w:r>
      <w:r w:rsidR="00C8089E">
        <w:rPr>
          <w:rFonts w:ascii="Calibri" w:eastAsia="Calibri" w:hAnsi="Calibri" w:cs="Calibri"/>
          <w:sz w:val="22"/>
          <w:szCs w:val="22"/>
        </w:rPr>
        <w:t>en</w:t>
      </w:r>
      <w:r w:rsidR="00553703">
        <w:rPr>
          <w:rFonts w:ascii="Calibri" w:eastAsia="Calibri" w:hAnsi="Calibri" w:cs="Calibri"/>
          <w:sz w:val="22"/>
          <w:szCs w:val="22"/>
        </w:rPr>
        <w:t>ce économique</w:t>
      </w:r>
      <w:r w:rsidR="00922176">
        <w:rPr>
          <w:rFonts w:ascii="Calibri" w:eastAsia="Calibri" w:hAnsi="Calibri" w:cs="Calibri"/>
          <w:sz w:val="22"/>
          <w:szCs w:val="22"/>
        </w:rPr>
        <w:t xml:space="preserve"> </w:t>
      </w:r>
      <w:r w:rsidR="00E82207">
        <w:rPr>
          <w:rFonts w:ascii="Calibri" w:eastAsia="Calibri" w:hAnsi="Calibri" w:cs="Calibri"/>
          <w:sz w:val="22"/>
          <w:szCs w:val="22"/>
        </w:rPr>
        <w:t>dans l’int</w:t>
      </w:r>
      <w:r w:rsidR="00574212">
        <w:rPr>
          <w:rFonts w:ascii="Calibri" w:eastAsia="Calibri" w:hAnsi="Calibri" w:cs="Calibri"/>
          <w:sz w:val="22"/>
          <w:szCs w:val="22"/>
        </w:rPr>
        <w:t>é</w:t>
      </w:r>
      <w:r w:rsidR="00C77667">
        <w:rPr>
          <w:rFonts w:ascii="Calibri" w:eastAsia="Calibri" w:hAnsi="Calibri" w:cs="Calibri"/>
          <w:sz w:val="22"/>
          <w:szCs w:val="22"/>
        </w:rPr>
        <w:t>rêt de</w:t>
      </w:r>
      <w:r w:rsidR="00E440AD">
        <w:rPr>
          <w:rFonts w:ascii="Calibri" w:eastAsia="Calibri" w:hAnsi="Calibri" w:cs="Calibri"/>
          <w:sz w:val="22"/>
          <w:szCs w:val="22"/>
        </w:rPr>
        <w:t xml:space="preserve"> tous</w:t>
      </w:r>
      <w:r w:rsidR="001F401C">
        <w:rPr>
          <w:rFonts w:ascii="Calibri" w:eastAsia="Calibri" w:hAnsi="Calibri" w:cs="Calibri"/>
          <w:sz w:val="22"/>
          <w:szCs w:val="22"/>
        </w:rPr>
        <w:t xml:space="preserve"> les consom</w:t>
      </w:r>
      <w:r w:rsidR="00241DD5">
        <w:rPr>
          <w:rFonts w:ascii="Calibri" w:eastAsia="Calibri" w:hAnsi="Calibri" w:cs="Calibri"/>
          <w:sz w:val="22"/>
          <w:szCs w:val="22"/>
        </w:rPr>
        <w:t>mateurs</w:t>
      </w:r>
      <w:r w:rsidR="00562C55">
        <w:rPr>
          <w:rFonts w:ascii="Calibri" w:eastAsia="Calibri" w:hAnsi="Calibri" w:cs="Calibri"/>
          <w:sz w:val="22"/>
          <w:szCs w:val="22"/>
        </w:rPr>
        <w:t xml:space="preserve"> de gaz</w:t>
      </w:r>
      <w:r w:rsidR="00BA6394">
        <w:rPr>
          <w:rFonts w:ascii="Calibri" w:eastAsia="Calibri" w:hAnsi="Calibri" w:cs="Calibri"/>
          <w:sz w:val="22"/>
          <w:szCs w:val="22"/>
        </w:rPr>
        <w:t xml:space="preserve"> en </w:t>
      </w:r>
      <w:r w:rsidR="003C2D81">
        <w:rPr>
          <w:rFonts w:ascii="Calibri" w:eastAsia="Calibri" w:hAnsi="Calibri" w:cs="Calibri"/>
          <w:sz w:val="22"/>
          <w:szCs w:val="22"/>
        </w:rPr>
        <w:t>France.</w:t>
      </w:r>
      <w:r w:rsidR="00C96F69" w:rsidRPr="00A93EEE">
        <w:rPr>
          <w:rFonts w:ascii="Calibri" w:eastAsia="Calibri" w:hAnsi="Calibri" w:cs="Calibri"/>
          <w:sz w:val="22"/>
          <w:szCs w:val="22"/>
        </w:rPr>
        <w:t xml:space="preserve"> </w:t>
      </w:r>
      <w:r w:rsidR="0070066F" w:rsidRPr="00A93EEE">
        <w:rPr>
          <w:rFonts w:ascii="Calibri" w:eastAsia="Calibri" w:hAnsi="Calibri" w:cs="Calibri"/>
          <w:sz w:val="22"/>
          <w:szCs w:val="22"/>
        </w:rPr>
        <w:t xml:space="preserve">La CRE </w:t>
      </w:r>
      <w:r w:rsidR="00F40F6E">
        <w:rPr>
          <w:rFonts w:ascii="Calibri" w:eastAsia="Calibri" w:hAnsi="Calibri" w:cs="Calibri"/>
          <w:sz w:val="22"/>
          <w:szCs w:val="22"/>
        </w:rPr>
        <w:t>prévoi</w:t>
      </w:r>
      <w:r w:rsidR="0070066F" w:rsidRPr="00A93EEE">
        <w:rPr>
          <w:rFonts w:ascii="Calibri" w:eastAsia="Calibri" w:hAnsi="Calibri" w:cs="Calibri"/>
          <w:sz w:val="22"/>
          <w:szCs w:val="22"/>
        </w:rPr>
        <w:t xml:space="preserve">t-elle </w:t>
      </w:r>
      <w:r w:rsidR="002A3042">
        <w:rPr>
          <w:rFonts w:ascii="Calibri" w:eastAsia="Calibri" w:hAnsi="Calibri" w:cs="Calibri"/>
          <w:sz w:val="22"/>
          <w:szCs w:val="22"/>
        </w:rPr>
        <w:t>d’é</w:t>
      </w:r>
      <w:r w:rsidR="006E755F">
        <w:rPr>
          <w:rFonts w:ascii="Calibri" w:eastAsia="Calibri" w:hAnsi="Calibri" w:cs="Calibri"/>
          <w:sz w:val="22"/>
          <w:szCs w:val="22"/>
        </w:rPr>
        <w:t xml:space="preserve">clairer </w:t>
      </w:r>
      <w:r w:rsidR="0070066F" w:rsidRPr="00A93EEE">
        <w:rPr>
          <w:rFonts w:ascii="Calibri" w:eastAsia="Calibri" w:hAnsi="Calibri" w:cs="Calibri"/>
          <w:sz w:val="22"/>
          <w:szCs w:val="22"/>
        </w:rPr>
        <w:t>le sujet dans sa délibération publique ?</w:t>
      </w:r>
    </w:p>
    <w:p w14:paraId="42CBD909" w14:textId="77777777" w:rsidR="004B1112" w:rsidRPr="00A93EEE" w:rsidRDefault="001D3CC6" w:rsidP="00850E72">
      <w:pPr>
        <w:pStyle w:val="Paragraphedeliste"/>
        <w:numPr>
          <w:ilvl w:val="0"/>
          <w:numId w:val="9"/>
        </w:numPr>
        <w:jc w:val="both"/>
        <w:rPr>
          <w:rFonts w:ascii="Calibri" w:eastAsia="Calibri" w:hAnsi="Calibri" w:cs="Calibri"/>
          <w:sz w:val="22"/>
          <w:szCs w:val="22"/>
        </w:rPr>
      </w:pPr>
      <w:r w:rsidRPr="00A93EEE">
        <w:rPr>
          <w:rFonts w:ascii="Calibri" w:eastAsia="Calibri" w:hAnsi="Calibri" w:cs="Calibri"/>
          <w:sz w:val="22"/>
          <w:szCs w:val="22"/>
        </w:rPr>
        <w:t xml:space="preserve">Le mécanisme de péréquation que prévoit la CRE consiste à faire transiter une compensation financière (de l’ordre de ~20 à 25M€) de GRDF vers les </w:t>
      </w:r>
      <w:r w:rsidR="005C07D3" w:rsidRPr="00A93EEE">
        <w:rPr>
          <w:rFonts w:ascii="Calibri" w:eastAsia="Calibri" w:hAnsi="Calibri" w:cs="Calibri"/>
          <w:sz w:val="22"/>
          <w:szCs w:val="22"/>
        </w:rPr>
        <w:t>gestionnaires locaux de distribution</w:t>
      </w:r>
      <w:r w:rsidRPr="00A93EEE">
        <w:rPr>
          <w:rFonts w:ascii="Calibri" w:eastAsia="Calibri" w:hAnsi="Calibri" w:cs="Calibri"/>
          <w:sz w:val="22"/>
          <w:szCs w:val="22"/>
        </w:rPr>
        <w:t>. La</w:t>
      </w:r>
      <w:r w:rsidR="00DD7EC6" w:rsidRPr="00A93EEE">
        <w:rPr>
          <w:rFonts w:ascii="Calibri" w:eastAsia="Calibri" w:hAnsi="Calibri" w:cs="Calibri"/>
          <w:sz w:val="22"/>
          <w:szCs w:val="22"/>
        </w:rPr>
        <w:t xml:space="preserve"> consultation publique n’explicite pas la façon dont les coûts administratifs,</w:t>
      </w:r>
      <w:r w:rsidRPr="00A93EEE">
        <w:rPr>
          <w:rFonts w:ascii="Calibri" w:eastAsia="Calibri" w:hAnsi="Calibri" w:cs="Calibri"/>
          <w:sz w:val="22"/>
          <w:szCs w:val="22"/>
        </w:rPr>
        <w:t xml:space="preserve"> frais de gestion et frais de portage que va supporter le Distributeur national</w:t>
      </w:r>
      <w:r w:rsidR="00DD7EC6" w:rsidRPr="00A93EEE">
        <w:rPr>
          <w:rFonts w:ascii="Calibri" w:eastAsia="Calibri" w:hAnsi="Calibri" w:cs="Calibri"/>
          <w:sz w:val="22"/>
          <w:szCs w:val="22"/>
        </w:rPr>
        <w:t>, seront couverts</w:t>
      </w:r>
      <w:r w:rsidR="004B1112" w:rsidRPr="00A93EEE">
        <w:rPr>
          <w:rFonts w:ascii="Calibri" w:eastAsia="Calibri" w:hAnsi="Calibri" w:cs="Calibri"/>
          <w:sz w:val="22"/>
          <w:szCs w:val="22"/>
        </w:rPr>
        <w:t xml:space="preserve"> par </w:t>
      </w:r>
      <w:r w:rsidRPr="00A93EEE">
        <w:rPr>
          <w:rFonts w:ascii="Calibri" w:eastAsia="Calibri" w:hAnsi="Calibri" w:cs="Calibri"/>
          <w:sz w:val="22"/>
          <w:szCs w:val="22"/>
        </w:rPr>
        <w:t xml:space="preserve">le revenu autorisé de GRDF. </w:t>
      </w:r>
      <w:r w:rsidR="004B1112" w:rsidRPr="00A93EEE">
        <w:rPr>
          <w:rFonts w:ascii="Calibri" w:eastAsia="Calibri" w:hAnsi="Calibri" w:cs="Calibri"/>
          <w:sz w:val="22"/>
          <w:szCs w:val="22"/>
        </w:rPr>
        <w:t xml:space="preserve">Il semblerait logique que ces coûts soient intégrés au revenu autorisé du Distributeur national. </w:t>
      </w:r>
      <w:r w:rsidRPr="00A93EEE">
        <w:rPr>
          <w:rFonts w:ascii="Calibri" w:eastAsia="Calibri" w:hAnsi="Calibri" w:cs="Calibri"/>
          <w:sz w:val="22"/>
          <w:szCs w:val="22"/>
        </w:rPr>
        <w:t xml:space="preserve">Dans le cas contraire, ce risque supplémentaire devrait être pris en compte dans le CRCP de GRDF </w:t>
      </w:r>
      <w:r w:rsidR="004B1112" w:rsidRPr="00A93EEE">
        <w:rPr>
          <w:rFonts w:ascii="Calibri" w:eastAsia="Calibri" w:hAnsi="Calibri" w:cs="Calibri"/>
          <w:sz w:val="22"/>
          <w:szCs w:val="22"/>
        </w:rPr>
        <w:t xml:space="preserve">- </w:t>
      </w:r>
      <w:r w:rsidRPr="00A93EEE">
        <w:rPr>
          <w:rFonts w:ascii="Calibri" w:eastAsia="Calibri" w:hAnsi="Calibri" w:cs="Calibri"/>
          <w:sz w:val="22"/>
          <w:szCs w:val="22"/>
        </w:rPr>
        <w:t>ce qui plaide</w:t>
      </w:r>
      <w:r w:rsidR="004B1112" w:rsidRPr="00A93EEE">
        <w:rPr>
          <w:rFonts w:ascii="Calibri" w:eastAsia="Calibri" w:hAnsi="Calibri" w:cs="Calibri"/>
          <w:sz w:val="22"/>
          <w:szCs w:val="22"/>
        </w:rPr>
        <w:t>rait</w:t>
      </w:r>
      <w:r w:rsidRPr="00A93EEE">
        <w:rPr>
          <w:rFonts w:ascii="Calibri" w:eastAsia="Calibri" w:hAnsi="Calibri" w:cs="Calibri"/>
          <w:sz w:val="22"/>
          <w:szCs w:val="22"/>
        </w:rPr>
        <w:t xml:space="preserve"> pour un déplafonnement du coefficient « k »</w:t>
      </w:r>
      <w:r w:rsidR="0005140D" w:rsidRPr="00A93EEE">
        <w:rPr>
          <w:rFonts w:ascii="Calibri" w:eastAsia="Calibri" w:hAnsi="Calibri" w:cs="Calibri"/>
          <w:sz w:val="22"/>
          <w:szCs w:val="22"/>
        </w:rPr>
        <w:t xml:space="preserve"> du CRCP</w:t>
      </w:r>
      <w:r w:rsidRPr="00A93EEE">
        <w:rPr>
          <w:rFonts w:ascii="Calibri" w:eastAsia="Calibri" w:hAnsi="Calibri" w:cs="Calibri"/>
          <w:sz w:val="22"/>
          <w:szCs w:val="22"/>
        </w:rPr>
        <w:t>.</w:t>
      </w:r>
    </w:p>
    <w:p w14:paraId="3B952CB1" w14:textId="0037EB58" w:rsidR="2D957785" w:rsidRPr="00BA3AB5" w:rsidRDefault="2FDC49C0" w:rsidP="00850E72">
      <w:pPr>
        <w:pStyle w:val="Paragraphedeliste"/>
        <w:numPr>
          <w:ilvl w:val="0"/>
          <w:numId w:val="9"/>
        </w:numPr>
        <w:jc w:val="both"/>
        <w:rPr>
          <w:rFonts w:ascii="Calibri" w:eastAsia="Calibri" w:hAnsi="Calibri" w:cs="Calibri"/>
          <w:color w:val="000000" w:themeColor="text1"/>
          <w:sz w:val="22"/>
          <w:szCs w:val="22"/>
        </w:rPr>
      </w:pPr>
      <w:r w:rsidRPr="3F83959B">
        <w:rPr>
          <w:rFonts w:ascii="Calibri" w:eastAsia="Calibri" w:hAnsi="Calibri" w:cs="Calibri"/>
          <w:sz w:val="22"/>
          <w:szCs w:val="22"/>
        </w:rPr>
        <w:t>La</w:t>
      </w:r>
      <w:r w:rsidR="6B11CC19" w:rsidRPr="3F83959B">
        <w:rPr>
          <w:rFonts w:ascii="Calibri" w:eastAsia="Calibri" w:hAnsi="Calibri" w:cs="Calibri"/>
          <w:sz w:val="22"/>
          <w:szCs w:val="22"/>
        </w:rPr>
        <w:t xml:space="preserve"> mise en œuvre </w:t>
      </w:r>
      <w:r w:rsidRPr="3F83959B">
        <w:rPr>
          <w:rFonts w:ascii="Calibri" w:eastAsia="Calibri" w:hAnsi="Calibri" w:cs="Calibri"/>
          <w:sz w:val="22"/>
          <w:szCs w:val="22"/>
        </w:rPr>
        <w:t xml:space="preserve">de la péréquation tarifaire nationale </w:t>
      </w:r>
      <w:r w:rsidR="0CDFA201" w:rsidRPr="3F83959B">
        <w:rPr>
          <w:rFonts w:ascii="Calibri" w:eastAsia="Calibri" w:hAnsi="Calibri" w:cs="Calibri"/>
          <w:sz w:val="22"/>
          <w:szCs w:val="22"/>
        </w:rPr>
        <w:t xml:space="preserve">peut et </w:t>
      </w:r>
      <w:r w:rsidRPr="3F83959B">
        <w:rPr>
          <w:rFonts w:ascii="Calibri" w:eastAsia="Calibri" w:hAnsi="Calibri" w:cs="Calibri"/>
          <w:sz w:val="22"/>
          <w:szCs w:val="22"/>
        </w:rPr>
        <w:t xml:space="preserve">doit l’être </w:t>
      </w:r>
      <w:r w:rsidR="614893EF" w:rsidRPr="3F83959B">
        <w:rPr>
          <w:rFonts w:ascii="Calibri" w:eastAsia="Calibri" w:hAnsi="Calibri" w:cs="Calibri"/>
          <w:sz w:val="22"/>
          <w:szCs w:val="22"/>
        </w:rPr>
        <w:t>l’occasion de</w:t>
      </w:r>
      <w:r w:rsidR="7C43F1E8" w:rsidRPr="3F83959B">
        <w:rPr>
          <w:rFonts w:ascii="Calibri" w:eastAsia="Calibri" w:hAnsi="Calibri" w:cs="Calibri"/>
          <w:sz w:val="22"/>
          <w:szCs w:val="22"/>
        </w:rPr>
        <w:t xml:space="preserve"> </w:t>
      </w:r>
      <w:r w:rsidR="0CDFA201" w:rsidRPr="3F83959B">
        <w:rPr>
          <w:rFonts w:ascii="Calibri" w:eastAsia="Calibri" w:hAnsi="Calibri" w:cs="Calibri"/>
          <w:sz w:val="22"/>
          <w:szCs w:val="22"/>
        </w:rPr>
        <w:t>favoriser le développement de la concurrence sur les territoires des Entreprises Locales de Distribution</w:t>
      </w:r>
      <w:r w:rsidR="7C43F1E8" w:rsidRPr="3F83959B">
        <w:rPr>
          <w:rFonts w:ascii="Calibri" w:eastAsia="Calibri" w:hAnsi="Calibri" w:cs="Calibri"/>
          <w:sz w:val="22"/>
          <w:szCs w:val="22"/>
        </w:rPr>
        <w:t xml:space="preserve">. </w:t>
      </w:r>
      <w:r w:rsidR="614893EF" w:rsidRPr="3F83959B">
        <w:rPr>
          <w:rFonts w:ascii="Calibri" w:eastAsia="Calibri" w:hAnsi="Calibri" w:cs="Calibri"/>
          <w:sz w:val="22"/>
          <w:szCs w:val="22"/>
        </w:rPr>
        <w:t>Toutefois, l</w:t>
      </w:r>
      <w:r w:rsidR="7C43F1E8" w:rsidRPr="3F83959B">
        <w:rPr>
          <w:rFonts w:ascii="Calibri" w:eastAsia="Calibri" w:hAnsi="Calibri" w:cs="Calibri"/>
          <w:sz w:val="22"/>
          <w:szCs w:val="22"/>
        </w:rPr>
        <w:t>a seule péréquation n’est pas suffisante, et il sera indispensable q</w:t>
      </w:r>
      <w:r w:rsidR="614893EF" w:rsidRPr="3F83959B">
        <w:rPr>
          <w:rFonts w:ascii="Calibri" w:eastAsia="Calibri" w:hAnsi="Calibri" w:cs="Calibri"/>
          <w:sz w:val="22"/>
          <w:szCs w:val="22"/>
        </w:rPr>
        <w:t>u</w:t>
      </w:r>
      <w:r w:rsidR="7C43F1E8" w:rsidRPr="3F83959B">
        <w:rPr>
          <w:rFonts w:ascii="Calibri" w:eastAsia="Calibri" w:hAnsi="Calibri" w:cs="Calibri"/>
          <w:sz w:val="22"/>
          <w:szCs w:val="22"/>
        </w:rPr>
        <w:t xml:space="preserve">e les </w:t>
      </w:r>
      <w:r w:rsidR="614893EF" w:rsidRPr="3F83959B">
        <w:rPr>
          <w:rFonts w:ascii="Calibri" w:eastAsia="Calibri" w:hAnsi="Calibri" w:cs="Calibri"/>
          <w:sz w:val="22"/>
          <w:szCs w:val="22"/>
        </w:rPr>
        <w:t xml:space="preserve">fournisseurs puissent </w:t>
      </w:r>
      <w:r w:rsidR="0CDFA201" w:rsidRPr="3F83959B">
        <w:rPr>
          <w:rFonts w:ascii="Calibri" w:eastAsia="Calibri" w:hAnsi="Calibri" w:cs="Calibri"/>
          <w:sz w:val="22"/>
          <w:szCs w:val="22"/>
        </w:rPr>
        <w:t xml:space="preserve">s’appuyer sur des conditions </w:t>
      </w:r>
      <w:r w:rsidR="0CDFA201" w:rsidRPr="3F83959B">
        <w:rPr>
          <w:rFonts w:ascii="Calibri" w:eastAsia="Calibri" w:hAnsi="Calibri" w:cs="Calibri"/>
          <w:color w:val="000000" w:themeColor="text1"/>
          <w:sz w:val="22"/>
          <w:szCs w:val="22"/>
        </w:rPr>
        <w:t xml:space="preserve">opérationnelles </w:t>
      </w:r>
      <w:r w:rsidR="614893EF" w:rsidRPr="3F83959B">
        <w:rPr>
          <w:rFonts w:ascii="Calibri" w:eastAsia="Calibri" w:hAnsi="Calibri" w:cs="Calibri"/>
          <w:color w:val="000000" w:themeColor="text1"/>
          <w:sz w:val="22"/>
          <w:szCs w:val="22"/>
        </w:rPr>
        <w:t>harmonisées.</w:t>
      </w:r>
      <w:r w:rsidR="6B11CC19" w:rsidRPr="3F83959B">
        <w:rPr>
          <w:rFonts w:ascii="Calibri" w:eastAsia="Calibri" w:hAnsi="Calibri" w:cs="Calibri"/>
          <w:color w:val="000000" w:themeColor="text1"/>
          <w:sz w:val="22"/>
          <w:szCs w:val="22"/>
        </w:rPr>
        <w:t xml:space="preserve"> </w:t>
      </w:r>
      <w:r w:rsidR="5D4C49EC" w:rsidRPr="3F83959B">
        <w:rPr>
          <w:rFonts w:ascii="Calibri" w:eastAsia="Calibri" w:hAnsi="Calibri" w:cs="Calibri"/>
          <w:color w:val="000000" w:themeColor="text1"/>
          <w:sz w:val="22"/>
          <w:szCs w:val="22"/>
        </w:rPr>
        <w:t xml:space="preserve">Pour cela, </w:t>
      </w:r>
      <w:r w:rsidR="4FD1A170" w:rsidRPr="3F83959B">
        <w:rPr>
          <w:rFonts w:ascii="Calibri" w:eastAsia="Calibri" w:hAnsi="Calibri" w:cs="Calibri"/>
          <w:color w:val="000000" w:themeColor="text1"/>
          <w:sz w:val="22"/>
          <w:szCs w:val="22"/>
        </w:rPr>
        <w:t xml:space="preserve">ENGIE rappelle que </w:t>
      </w:r>
      <w:r w:rsidR="5D4C49EC" w:rsidRPr="3F83959B">
        <w:rPr>
          <w:rFonts w:ascii="Calibri" w:eastAsia="Calibri" w:hAnsi="Calibri" w:cs="Calibri"/>
          <w:color w:val="000000" w:themeColor="text1"/>
          <w:sz w:val="22"/>
          <w:szCs w:val="22"/>
        </w:rPr>
        <w:t>le déploiement</w:t>
      </w:r>
      <w:r w:rsidR="4FD1A170" w:rsidRPr="3F83959B">
        <w:rPr>
          <w:rFonts w:ascii="Calibri" w:eastAsia="Calibri" w:hAnsi="Calibri" w:cs="Calibri"/>
          <w:color w:val="000000" w:themeColor="text1"/>
          <w:sz w:val="22"/>
          <w:szCs w:val="22"/>
        </w:rPr>
        <w:t xml:space="preserve"> </w:t>
      </w:r>
      <w:r w:rsidR="3C9B548E" w:rsidRPr="3F83959B">
        <w:rPr>
          <w:rFonts w:ascii="Calibri" w:eastAsia="Calibri" w:hAnsi="Calibri" w:cs="Calibri"/>
          <w:color w:val="000000" w:themeColor="text1"/>
          <w:sz w:val="22"/>
          <w:szCs w:val="22"/>
        </w:rPr>
        <w:t>selon</w:t>
      </w:r>
      <w:r w:rsidR="4FD1A170" w:rsidRPr="3F83959B">
        <w:rPr>
          <w:rFonts w:ascii="Calibri" w:eastAsia="Calibri" w:hAnsi="Calibri" w:cs="Calibri"/>
          <w:color w:val="000000" w:themeColor="text1"/>
          <w:sz w:val="22"/>
          <w:szCs w:val="22"/>
        </w:rPr>
        <w:t xml:space="preserve"> </w:t>
      </w:r>
      <w:r w:rsidR="3C9B548E" w:rsidRPr="3F83959B">
        <w:rPr>
          <w:rFonts w:ascii="Calibri" w:eastAsia="Calibri" w:hAnsi="Calibri" w:cs="Calibri"/>
          <w:color w:val="000000" w:themeColor="text1"/>
          <w:sz w:val="22"/>
          <w:szCs w:val="22"/>
        </w:rPr>
        <w:t xml:space="preserve">les délais prévus </w:t>
      </w:r>
      <w:r w:rsidR="4FD1A170" w:rsidRPr="3F83959B">
        <w:rPr>
          <w:rFonts w:ascii="Calibri" w:eastAsia="Calibri" w:hAnsi="Calibri" w:cs="Calibri"/>
          <w:color w:val="000000" w:themeColor="text1"/>
          <w:sz w:val="22"/>
          <w:szCs w:val="22"/>
        </w:rPr>
        <w:t>du portail commun GRD-fournisseurs est indispensable : il s’agit d’</w:t>
      </w:r>
      <w:r w:rsidR="6B11CC19" w:rsidRPr="3F83959B">
        <w:rPr>
          <w:rFonts w:ascii="Calibri" w:eastAsia="Calibri" w:hAnsi="Calibri" w:cs="Calibri"/>
          <w:color w:val="000000" w:themeColor="text1"/>
          <w:sz w:val="22"/>
          <w:szCs w:val="22"/>
        </w:rPr>
        <w:t xml:space="preserve">un outil clé pour simplifier les échanges de données, harmoniser les parcours clients et garantir des conditions de marché équitables. </w:t>
      </w:r>
    </w:p>
    <w:p w14:paraId="62FFA883" w14:textId="77777777" w:rsidR="00E62E3A" w:rsidRDefault="00E62E3A" w:rsidP="00E62E3A">
      <w:pPr>
        <w:pStyle w:val="Default"/>
        <w:jc w:val="both"/>
        <w:rPr>
          <w:color w:val="auto"/>
        </w:rPr>
      </w:pPr>
    </w:p>
    <w:p w14:paraId="6CAB586C" w14:textId="38CD8EA1" w:rsidR="00F83534" w:rsidRPr="00F83534" w:rsidRDefault="00E62E3A" w:rsidP="00F83534">
      <w:pPr>
        <w:pStyle w:val="Default"/>
        <w:jc w:val="both"/>
        <w:rPr>
          <w:color w:val="0070C0"/>
          <w:sz w:val="20"/>
          <w:szCs w:val="20"/>
        </w:rPr>
      </w:pPr>
      <w:r w:rsidRPr="00F83534">
        <w:rPr>
          <w:b/>
          <w:bCs/>
          <w:color w:val="0070C0"/>
          <w:sz w:val="20"/>
          <w:szCs w:val="20"/>
        </w:rPr>
        <w:t xml:space="preserve">Question 1 </w:t>
      </w:r>
      <w:r w:rsidRPr="00F83534">
        <w:rPr>
          <w:color w:val="0070C0"/>
          <w:sz w:val="20"/>
          <w:szCs w:val="20"/>
        </w:rPr>
        <w:t xml:space="preserve">Êtes-vous favorable à la méthode envisagée par la CRE concernant la détermination des compensations prévisionnelles pour les ELD anciennement au tarif spécifique ? </w:t>
      </w:r>
    </w:p>
    <w:p w14:paraId="4DB23DFA" w14:textId="77777777" w:rsidR="00A93EEE" w:rsidRDefault="00F83534" w:rsidP="00190E3B">
      <w:pPr>
        <w:jc w:val="both"/>
        <w:rPr>
          <w:rFonts w:ascii="Calibri" w:hAnsi="Calibri" w:cs="Calibri"/>
        </w:rPr>
      </w:pPr>
      <w:r w:rsidRPr="00E735D6">
        <w:rPr>
          <w:rFonts w:ascii="Calibri" w:hAnsi="Calibri" w:cs="Calibri"/>
        </w:rPr>
        <w:t xml:space="preserve">Réponse ENGIE : </w:t>
      </w:r>
      <w:r w:rsidR="00190E3B">
        <w:rPr>
          <w:rFonts w:ascii="Calibri" w:hAnsi="Calibri" w:cs="Calibri"/>
        </w:rPr>
        <w:t xml:space="preserve"> </w:t>
      </w:r>
    </w:p>
    <w:p w14:paraId="474374A0" w14:textId="1899572E" w:rsidR="00190E3B" w:rsidRPr="00622CD9" w:rsidRDefault="00190E3B" w:rsidP="00190E3B">
      <w:pPr>
        <w:jc w:val="both"/>
      </w:pPr>
      <w:r w:rsidRPr="00190E3B">
        <w:rPr>
          <w:rFonts w:ascii="Calibri" w:eastAsia="Calibri" w:hAnsi="Calibri" w:cs="Calibri"/>
          <w:color w:val="000000" w:themeColor="text1"/>
          <w:sz w:val="22"/>
          <w:szCs w:val="22"/>
        </w:rPr>
        <w:t>ENGIE est favorable à la méthode envisagée par la CRE concernant la détermination des compensations prévisionnelles pour les ELD anciennement au tarif spécifique</w:t>
      </w:r>
    </w:p>
    <w:p w14:paraId="76CD1D92" w14:textId="77777777" w:rsidR="00F83534" w:rsidRPr="00F83534" w:rsidRDefault="00F83534" w:rsidP="00E62E3A">
      <w:pPr>
        <w:pStyle w:val="Default"/>
        <w:jc w:val="both"/>
        <w:rPr>
          <w:color w:val="0070C0"/>
          <w:sz w:val="20"/>
          <w:szCs w:val="20"/>
        </w:rPr>
      </w:pPr>
    </w:p>
    <w:p w14:paraId="60551EDC" w14:textId="77777777" w:rsidR="00F83534" w:rsidRPr="00F83534" w:rsidRDefault="00E62E3A" w:rsidP="00F83534">
      <w:pPr>
        <w:pStyle w:val="Default"/>
        <w:jc w:val="both"/>
        <w:rPr>
          <w:sz w:val="20"/>
          <w:szCs w:val="20"/>
        </w:rPr>
      </w:pPr>
      <w:r w:rsidRPr="00F83534">
        <w:rPr>
          <w:b/>
          <w:bCs/>
          <w:color w:val="0070C0"/>
          <w:sz w:val="20"/>
          <w:szCs w:val="20"/>
        </w:rPr>
        <w:t xml:space="preserve">Question 2 </w:t>
      </w:r>
      <w:r w:rsidRPr="00F83534">
        <w:rPr>
          <w:color w:val="0070C0"/>
          <w:sz w:val="20"/>
          <w:szCs w:val="20"/>
        </w:rPr>
        <w:t xml:space="preserve">Êtes-vous favorable à la méthode envisagée par la CRE concernant la détermination des compensations prévisionnelles pour les ELD anciennement au tarif commun ? </w:t>
      </w:r>
    </w:p>
    <w:p w14:paraId="0E89799E" w14:textId="745C6B9D" w:rsidR="00E24D9F" w:rsidRPr="00A93EEE" w:rsidRDefault="00F83534" w:rsidP="00E24D9F">
      <w:pPr>
        <w:jc w:val="both"/>
        <w:rPr>
          <w:rFonts w:ascii="Calibri" w:hAnsi="Calibri" w:cs="Calibri"/>
        </w:rPr>
      </w:pPr>
      <w:r w:rsidRPr="00E735D6">
        <w:rPr>
          <w:rFonts w:ascii="Calibri" w:hAnsi="Calibri" w:cs="Calibri"/>
        </w:rPr>
        <w:t xml:space="preserve">Réponse ENGIE : </w:t>
      </w:r>
      <w:r w:rsidR="00A93EEE">
        <w:rPr>
          <w:rFonts w:ascii="Calibri" w:eastAsia="Calibri" w:hAnsi="Calibri" w:cs="Calibri"/>
          <w:color w:val="000000" w:themeColor="text1"/>
          <w:sz w:val="22"/>
          <w:szCs w:val="22"/>
        </w:rPr>
        <w:t>I</w:t>
      </w:r>
      <w:r w:rsidR="001A6F5A">
        <w:rPr>
          <w:rFonts w:ascii="Calibri" w:eastAsia="Calibri" w:hAnsi="Calibri" w:cs="Calibri"/>
          <w:color w:val="000000" w:themeColor="text1"/>
          <w:sz w:val="22"/>
          <w:szCs w:val="22"/>
        </w:rPr>
        <w:t>de</w:t>
      </w:r>
      <w:r w:rsidR="00A93EEE">
        <w:rPr>
          <w:rFonts w:ascii="Calibri" w:eastAsia="Calibri" w:hAnsi="Calibri" w:cs="Calibri"/>
          <w:color w:val="000000" w:themeColor="text1"/>
          <w:sz w:val="22"/>
          <w:szCs w:val="22"/>
        </w:rPr>
        <w:t>m Question 1</w:t>
      </w:r>
    </w:p>
    <w:p w14:paraId="1AD4DA4A" w14:textId="3FC530E6" w:rsidR="00E62E3A" w:rsidRPr="00F83534" w:rsidRDefault="00E62E3A" w:rsidP="00E62E3A">
      <w:pPr>
        <w:pStyle w:val="Default"/>
        <w:jc w:val="both"/>
        <w:rPr>
          <w:color w:val="0070C0"/>
          <w:sz w:val="20"/>
          <w:szCs w:val="20"/>
        </w:rPr>
      </w:pPr>
    </w:p>
    <w:p w14:paraId="40E58DC8" w14:textId="77777777" w:rsidR="00F83534" w:rsidRPr="00F83534" w:rsidRDefault="00E62E3A" w:rsidP="00F83534">
      <w:pPr>
        <w:pStyle w:val="Default"/>
        <w:jc w:val="both"/>
        <w:rPr>
          <w:sz w:val="20"/>
          <w:szCs w:val="20"/>
        </w:rPr>
      </w:pPr>
      <w:r w:rsidRPr="00F83534">
        <w:rPr>
          <w:b/>
          <w:bCs/>
          <w:color w:val="0070C0"/>
          <w:sz w:val="20"/>
          <w:szCs w:val="20"/>
        </w:rPr>
        <w:lastRenderedPageBreak/>
        <w:t xml:space="preserve">Question 3 </w:t>
      </w:r>
      <w:r w:rsidRPr="00F83534">
        <w:rPr>
          <w:color w:val="0070C0"/>
          <w:sz w:val="20"/>
          <w:szCs w:val="20"/>
        </w:rPr>
        <w:t xml:space="preserve">Êtes-vous favorable à la méthode envisagée par la CRE concernant la détermination des compensations définitives ? </w:t>
      </w:r>
    </w:p>
    <w:p w14:paraId="2ABC4973" w14:textId="77777777" w:rsidR="00A93EEE" w:rsidRDefault="00F83534" w:rsidP="00F83534">
      <w:pPr>
        <w:rPr>
          <w:rFonts w:ascii="Calibri" w:hAnsi="Calibri" w:cs="Calibri"/>
        </w:rPr>
      </w:pPr>
      <w:r w:rsidRPr="00E735D6">
        <w:rPr>
          <w:rFonts w:ascii="Calibri" w:hAnsi="Calibri" w:cs="Calibri"/>
        </w:rPr>
        <w:t xml:space="preserve">Réponse ENGIE : </w:t>
      </w:r>
    </w:p>
    <w:p w14:paraId="417CFC96" w14:textId="41746E67" w:rsidR="00F83534" w:rsidRPr="00E735D6" w:rsidRDefault="001A6F5A" w:rsidP="00F83534">
      <w:pPr>
        <w:rPr>
          <w:rFonts w:ascii="Calibri" w:hAnsi="Calibri" w:cs="Calibri"/>
        </w:rPr>
      </w:pPr>
      <w:r w:rsidRPr="00B302C1">
        <w:rPr>
          <w:rFonts w:ascii="Calibri" w:eastAsia="Calibri" w:hAnsi="Calibri" w:cs="Calibri"/>
          <w:color w:val="000000" w:themeColor="text1"/>
          <w:sz w:val="22"/>
          <w:szCs w:val="22"/>
        </w:rPr>
        <w:t>ENGIE est favorable à la méthode envisagée.</w:t>
      </w:r>
    </w:p>
    <w:p w14:paraId="72C70B7E" w14:textId="2BF454E2" w:rsidR="00E62E3A" w:rsidRPr="00F83534" w:rsidRDefault="00E62E3A" w:rsidP="00E62E3A">
      <w:pPr>
        <w:pStyle w:val="Default"/>
        <w:jc w:val="both"/>
        <w:rPr>
          <w:color w:val="0070C0"/>
          <w:sz w:val="20"/>
          <w:szCs w:val="20"/>
        </w:rPr>
      </w:pPr>
    </w:p>
    <w:p w14:paraId="2473B88D" w14:textId="77777777" w:rsidR="00F83534" w:rsidRPr="00F83534" w:rsidRDefault="00E62E3A" w:rsidP="00F83534">
      <w:pPr>
        <w:pStyle w:val="Default"/>
        <w:jc w:val="both"/>
        <w:rPr>
          <w:sz w:val="20"/>
          <w:szCs w:val="20"/>
        </w:rPr>
      </w:pPr>
      <w:r w:rsidRPr="00F83534">
        <w:rPr>
          <w:b/>
          <w:bCs/>
          <w:color w:val="0070C0"/>
          <w:sz w:val="20"/>
          <w:szCs w:val="20"/>
        </w:rPr>
        <w:t xml:space="preserve">Question 4 </w:t>
      </w:r>
      <w:r w:rsidRPr="00F83534">
        <w:rPr>
          <w:color w:val="0070C0"/>
          <w:sz w:val="20"/>
          <w:szCs w:val="20"/>
        </w:rPr>
        <w:t>Êtes-vous favorable à l’orientation préliminaire de la CRE concernant la prise en charge des surcoûts liés à la péréquation par la grille tarifaire de GRDF au 1</w:t>
      </w:r>
      <w:r w:rsidRPr="00F83534">
        <w:rPr>
          <w:color w:val="0070C0"/>
          <w:sz w:val="13"/>
          <w:szCs w:val="13"/>
        </w:rPr>
        <w:t xml:space="preserve">er </w:t>
      </w:r>
      <w:r w:rsidRPr="00F83534">
        <w:rPr>
          <w:color w:val="0070C0"/>
          <w:sz w:val="20"/>
          <w:szCs w:val="20"/>
        </w:rPr>
        <w:t xml:space="preserve">juillet 2026 ? </w:t>
      </w:r>
    </w:p>
    <w:p w14:paraId="72EB2196" w14:textId="77777777" w:rsidR="00A93EEE" w:rsidRDefault="00F83534" w:rsidP="00F83534">
      <w:pPr>
        <w:rPr>
          <w:rFonts w:ascii="Calibri" w:hAnsi="Calibri" w:cs="Calibri"/>
        </w:rPr>
      </w:pPr>
      <w:r w:rsidRPr="00E735D6">
        <w:rPr>
          <w:rFonts w:ascii="Calibri" w:hAnsi="Calibri" w:cs="Calibri"/>
        </w:rPr>
        <w:t xml:space="preserve">Réponse ENGIE : </w:t>
      </w:r>
    </w:p>
    <w:p w14:paraId="067BCF2B" w14:textId="3BF64CBF" w:rsidR="00F83534" w:rsidRDefault="00927D26" w:rsidP="00F83534">
      <w:pPr>
        <w:rPr>
          <w:rFonts w:ascii="Calibri" w:eastAsia="Calibri" w:hAnsi="Calibri" w:cs="Calibri"/>
          <w:color w:val="000000" w:themeColor="text1"/>
          <w:sz w:val="22"/>
          <w:szCs w:val="22"/>
        </w:rPr>
      </w:pPr>
      <w:r w:rsidRPr="00B302C1">
        <w:rPr>
          <w:rFonts w:ascii="Calibri" w:eastAsia="Calibri" w:hAnsi="Calibri" w:cs="Calibri"/>
          <w:color w:val="000000" w:themeColor="text1"/>
          <w:sz w:val="22"/>
          <w:szCs w:val="22"/>
        </w:rPr>
        <w:t xml:space="preserve">ENGIE est favorable à </w:t>
      </w:r>
      <w:r w:rsidR="00882D7F" w:rsidRPr="00B302C1">
        <w:rPr>
          <w:rFonts w:ascii="Calibri" w:eastAsia="Calibri" w:hAnsi="Calibri" w:cs="Calibri"/>
          <w:color w:val="000000" w:themeColor="text1"/>
          <w:sz w:val="22"/>
          <w:szCs w:val="22"/>
        </w:rPr>
        <w:t>l’</w:t>
      </w:r>
      <w:r w:rsidRPr="00B302C1">
        <w:rPr>
          <w:rFonts w:ascii="Calibri" w:eastAsia="Calibri" w:hAnsi="Calibri" w:cs="Calibri"/>
          <w:color w:val="000000" w:themeColor="text1"/>
          <w:sz w:val="22"/>
          <w:szCs w:val="22"/>
        </w:rPr>
        <w:t>orientation formulée par la CRE</w:t>
      </w:r>
      <w:r w:rsidR="00882D7F" w:rsidRPr="00B302C1">
        <w:rPr>
          <w:rFonts w:ascii="Calibri" w:eastAsia="Calibri" w:hAnsi="Calibri" w:cs="Calibri"/>
          <w:color w:val="000000" w:themeColor="text1"/>
          <w:sz w:val="22"/>
          <w:szCs w:val="22"/>
        </w:rPr>
        <w:t xml:space="preserve">. </w:t>
      </w:r>
      <w:r w:rsidR="008F4F0F">
        <w:rPr>
          <w:rFonts w:ascii="Calibri" w:eastAsia="Calibri" w:hAnsi="Calibri" w:cs="Calibri"/>
          <w:color w:val="000000" w:themeColor="text1"/>
          <w:sz w:val="22"/>
          <w:szCs w:val="22"/>
        </w:rPr>
        <w:t>Comme la CRE le souligne, d</w:t>
      </w:r>
      <w:r w:rsidR="00C220B6" w:rsidRPr="00B302C1">
        <w:rPr>
          <w:rFonts w:ascii="Calibri" w:eastAsia="Calibri" w:hAnsi="Calibri" w:cs="Calibri"/>
          <w:color w:val="000000" w:themeColor="text1"/>
          <w:sz w:val="22"/>
          <w:szCs w:val="22"/>
        </w:rPr>
        <w:t xml:space="preserve">ès lors que </w:t>
      </w:r>
      <w:r w:rsidR="00C220B6">
        <w:rPr>
          <w:rFonts w:ascii="Calibri" w:eastAsia="Calibri" w:hAnsi="Calibri" w:cs="Calibri"/>
          <w:color w:val="000000" w:themeColor="text1"/>
          <w:sz w:val="22"/>
          <w:szCs w:val="22"/>
        </w:rPr>
        <w:t>le CRCP de GRDF</w:t>
      </w:r>
      <w:r w:rsidR="00C220B6" w:rsidRPr="00B302C1">
        <w:rPr>
          <w:rFonts w:ascii="Calibri" w:eastAsia="Calibri" w:hAnsi="Calibri" w:cs="Calibri"/>
          <w:color w:val="000000" w:themeColor="text1"/>
          <w:sz w:val="22"/>
          <w:szCs w:val="22"/>
        </w:rPr>
        <w:t xml:space="preserve"> est saturé de façon récurrente</w:t>
      </w:r>
      <w:r w:rsidR="00C220B6">
        <w:rPr>
          <w:rFonts w:ascii="Calibri" w:eastAsia="Calibri" w:hAnsi="Calibri" w:cs="Calibri"/>
          <w:color w:val="000000" w:themeColor="text1"/>
          <w:sz w:val="22"/>
          <w:szCs w:val="22"/>
        </w:rPr>
        <w:t xml:space="preserve"> (atteinte </w:t>
      </w:r>
      <w:r w:rsidR="008F4F0F">
        <w:rPr>
          <w:rFonts w:ascii="Calibri" w:eastAsia="Calibri" w:hAnsi="Calibri" w:cs="Calibri"/>
          <w:color w:val="000000" w:themeColor="text1"/>
          <w:sz w:val="22"/>
          <w:szCs w:val="22"/>
        </w:rPr>
        <w:t>régulière du plafond d’apurement de +3%), i</w:t>
      </w:r>
      <w:r w:rsidR="00882D7F" w:rsidRPr="00B302C1">
        <w:rPr>
          <w:rFonts w:ascii="Calibri" w:eastAsia="Calibri" w:hAnsi="Calibri" w:cs="Calibri"/>
          <w:color w:val="000000" w:themeColor="text1"/>
          <w:sz w:val="22"/>
          <w:szCs w:val="22"/>
        </w:rPr>
        <w:t xml:space="preserve">l apparaitrait en effet malvenu </w:t>
      </w:r>
      <w:r w:rsidRPr="00B302C1">
        <w:rPr>
          <w:rFonts w:ascii="Calibri" w:eastAsia="Calibri" w:hAnsi="Calibri" w:cs="Calibri"/>
          <w:color w:val="000000" w:themeColor="text1"/>
          <w:sz w:val="22"/>
          <w:szCs w:val="22"/>
        </w:rPr>
        <w:t>d’utiliser le CRCP pour traiter de la compensation</w:t>
      </w:r>
      <w:r w:rsidR="008F4F0F">
        <w:rPr>
          <w:rFonts w:ascii="Calibri" w:eastAsia="Calibri" w:hAnsi="Calibri" w:cs="Calibri"/>
          <w:color w:val="000000" w:themeColor="text1"/>
          <w:sz w:val="22"/>
          <w:szCs w:val="22"/>
        </w:rPr>
        <w:t>.</w:t>
      </w:r>
    </w:p>
    <w:p w14:paraId="62602AD9" w14:textId="5A4952E3" w:rsidR="008F4F0F" w:rsidRPr="008F4F0F" w:rsidRDefault="77143974" w:rsidP="00F83534">
      <w:pPr>
        <w:rPr>
          <w:rFonts w:ascii="Calibri" w:eastAsia="Calibri" w:hAnsi="Calibri" w:cs="Calibri"/>
          <w:color w:val="000000" w:themeColor="text1"/>
          <w:sz w:val="22"/>
          <w:szCs w:val="22"/>
        </w:rPr>
      </w:pPr>
      <w:r w:rsidRPr="3F83959B">
        <w:rPr>
          <w:rFonts w:ascii="Calibri" w:eastAsia="Calibri" w:hAnsi="Calibri" w:cs="Calibri"/>
          <w:color w:val="000000" w:themeColor="text1"/>
          <w:sz w:val="22"/>
          <w:szCs w:val="22"/>
        </w:rPr>
        <w:t>Au demeurant, c</w:t>
      </w:r>
      <w:r w:rsidR="526AB445" w:rsidRPr="3F83959B">
        <w:rPr>
          <w:rFonts w:ascii="Calibri" w:eastAsia="Calibri" w:hAnsi="Calibri" w:cs="Calibri"/>
          <w:color w:val="000000" w:themeColor="text1"/>
          <w:sz w:val="22"/>
          <w:szCs w:val="22"/>
        </w:rPr>
        <w:t xml:space="preserve">ette </w:t>
      </w:r>
      <w:r w:rsidRPr="3F83959B">
        <w:rPr>
          <w:rFonts w:ascii="Calibri" w:eastAsia="Calibri" w:hAnsi="Calibri" w:cs="Calibri"/>
          <w:color w:val="000000" w:themeColor="text1"/>
          <w:sz w:val="22"/>
          <w:szCs w:val="22"/>
        </w:rPr>
        <w:t>observation</w:t>
      </w:r>
      <w:r w:rsidR="526AB445" w:rsidRPr="3F83959B">
        <w:rPr>
          <w:rFonts w:ascii="Calibri" w:eastAsia="Calibri" w:hAnsi="Calibri" w:cs="Calibri"/>
          <w:color w:val="000000" w:themeColor="text1"/>
          <w:sz w:val="22"/>
          <w:szCs w:val="22"/>
        </w:rPr>
        <w:t xml:space="preserve"> ouvre par ailleurs la question d</w:t>
      </w:r>
      <w:r w:rsidR="60F3ED07" w:rsidRPr="3F83959B">
        <w:rPr>
          <w:rFonts w:ascii="Calibri" w:eastAsia="Calibri" w:hAnsi="Calibri" w:cs="Calibri"/>
          <w:color w:val="000000" w:themeColor="text1"/>
          <w:sz w:val="22"/>
          <w:szCs w:val="22"/>
        </w:rPr>
        <w:t xml:space="preserve">u </w:t>
      </w:r>
      <w:r w:rsidRPr="3F83959B">
        <w:rPr>
          <w:rFonts w:ascii="Calibri" w:eastAsia="Calibri" w:hAnsi="Calibri" w:cs="Calibri"/>
          <w:color w:val="000000" w:themeColor="text1"/>
          <w:sz w:val="22"/>
          <w:szCs w:val="22"/>
        </w:rPr>
        <w:t xml:space="preserve">fonctionnement </w:t>
      </w:r>
      <w:r w:rsidR="58AAA1E5" w:rsidRPr="3F83959B">
        <w:rPr>
          <w:rFonts w:ascii="Calibri" w:eastAsia="Calibri" w:hAnsi="Calibri" w:cs="Calibri"/>
          <w:color w:val="000000" w:themeColor="text1"/>
          <w:sz w:val="22"/>
          <w:szCs w:val="22"/>
        </w:rPr>
        <w:t xml:space="preserve">du </w:t>
      </w:r>
      <w:r w:rsidR="60F3ED07" w:rsidRPr="3F83959B">
        <w:rPr>
          <w:rFonts w:ascii="Calibri" w:eastAsia="Calibri" w:hAnsi="Calibri" w:cs="Calibri"/>
          <w:color w:val="000000" w:themeColor="text1"/>
          <w:sz w:val="22"/>
          <w:szCs w:val="22"/>
        </w:rPr>
        <w:t xml:space="preserve">CRCP et du </w:t>
      </w:r>
      <w:r w:rsidRPr="3F83959B">
        <w:rPr>
          <w:rFonts w:ascii="Calibri" w:eastAsia="Calibri" w:hAnsi="Calibri" w:cs="Calibri"/>
          <w:color w:val="000000" w:themeColor="text1"/>
          <w:sz w:val="22"/>
          <w:szCs w:val="22"/>
        </w:rPr>
        <w:t>rehaussement</w:t>
      </w:r>
      <w:r w:rsidR="60F3ED07" w:rsidRPr="3F83959B">
        <w:rPr>
          <w:rFonts w:ascii="Calibri" w:eastAsia="Calibri" w:hAnsi="Calibri" w:cs="Calibri"/>
          <w:color w:val="000000" w:themeColor="text1"/>
          <w:sz w:val="22"/>
          <w:szCs w:val="22"/>
        </w:rPr>
        <w:t xml:space="preserve"> d</w:t>
      </w:r>
      <w:r w:rsidR="00137DB8">
        <w:rPr>
          <w:rFonts w:ascii="Calibri" w:eastAsia="Calibri" w:hAnsi="Calibri" w:cs="Calibri"/>
          <w:color w:val="000000" w:themeColor="text1"/>
          <w:sz w:val="22"/>
          <w:szCs w:val="22"/>
        </w:rPr>
        <w:t xml:space="preserve">u </w:t>
      </w:r>
      <w:r w:rsidR="60F3ED07" w:rsidRPr="3F83959B">
        <w:rPr>
          <w:rFonts w:ascii="Calibri" w:eastAsia="Calibri" w:hAnsi="Calibri" w:cs="Calibri"/>
          <w:color w:val="000000" w:themeColor="text1"/>
          <w:sz w:val="22"/>
          <w:szCs w:val="22"/>
        </w:rPr>
        <w:t xml:space="preserve">seuil </w:t>
      </w:r>
      <w:r w:rsidRPr="3F83959B">
        <w:rPr>
          <w:rFonts w:ascii="Calibri" w:eastAsia="Calibri" w:hAnsi="Calibri" w:cs="Calibri"/>
          <w:color w:val="000000" w:themeColor="text1"/>
          <w:sz w:val="22"/>
          <w:szCs w:val="22"/>
        </w:rPr>
        <w:t xml:space="preserve">plafond </w:t>
      </w:r>
      <w:r w:rsidR="60F3ED07" w:rsidRPr="3F83959B">
        <w:rPr>
          <w:rFonts w:ascii="Calibri" w:eastAsia="Calibri" w:hAnsi="Calibri" w:cs="Calibri"/>
          <w:color w:val="000000" w:themeColor="text1"/>
          <w:sz w:val="22"/>
          <w:szCs w:val="22"/>
        </w:rPr>
        <w:t>de +3%</w:t>
      </w:r>
      <w:r w:rsidR="00A548F4">
        <w:rPr>
          <w:rFonts w:ascii="Calibri" w:eastAsia="Calibri" w:hAnsi="Calibri" w:cs="Calibri"/>
          <w:color w:val="000000" w:themeColor="text1"/>
          <w:sz w:val="22"/>
          <w:szCs w:val="22"/>
        </w:rPr>
        <w:t xml:space="preserve"> </w:t>
      </w:r>
      <w:r w:rsidR="0034250B">
        <w:rPr>
          <w:rFonts w:ascii="Calibri" w:eastAsia="Calibri" w:hAnsi="Calibri" w:cs="Calibri"/>
          <w:color w:val="000000" w:themeColor="text1"/>
          <w:sz w:val="22"/>
          <w:szCs w:val="22"/>
        </w:rPr>
        <w:t>(</w:t>
      </w:r>
      <w:r w:rsidR="0034250B" w:rsidRPr="000175F7">
        <w:rPr>
          <w:rFonts w:ascii="Calibri" w:eastAsia="Calibri" w:hAnsi="Calibri" w:cs="Calibri"/>
          <w:i/>
          <w:iCs/>
          <w:color w:val="000000" w:themeColor="text1"/>
          <w:sz w:val="22"/>
          <w:szCs w:val="22"/>
        </w:rPr>
        <w:t>k</w:t>
      </w:r>
      <w:r w:rsidR="0034250B">
        <w:rPr>
          <w:rFonts w:ascii="Calibri" w:eastAsia="Calibri" w:hAnsi="Calibri" w:cs="Calibri"/>
          <w:color w:val="000000" w:themeColor="text1"/>
          <w:sz w:val="22"/>
          <w:szCs w:val="22"/>
        </w:rPr>
        <w:t>)</w:t>
      </w:r>
      <w:r w:rsidRPr="3F83959B">
        <w:rPr>
          <w:rFonts w:ascii="Calibri" w:eastAsia="Calibri" w:hAnsi="Calibri" w:cs="Calibri"/>
          <w:color w:val="000000" w:themeColor="text1"/>
          <w:sz w:val="22"/>
          <w:szCs w:val="22"/>
        </w:rPr>
        <w:t>.</w:t>
      </w:r>
    </w:p>
    <w:p w14:paraId="5910CCF8" w14:textId="3E2C905F" w:rsidR="00E62E3A" w:rsidRPr="00F83534" w:rsidRDefault="00E62E3A" w:rsidP="00E62E3A">
      <w:pPr>
        <w:pStyle w:val="Default"/>
        <w:jc w:val="both"/>
        <w:rPr>
          <w:color w:val="0070C0"/>
          <w:sz w:val="20"/>
          <w:szCs w:val="20"/>
        </w:rPr>
      </w:pPr>
    </w:p>
    <w:p w14:paraId="59D9D7F3" w14:textId="77777777" w:rsidR="00F83534" w:rsidRPr="00F83534" w:rsidRDefault="00E62E3A" w:rsidP="00F83534">
      <w:pPr>
        <w:pStyle w:val="Default"/>
        <w:jc w:val="both"/>
        <w:rPr>
          <w:sz w:val="20"/>
          <w:szCs w:val="20"/>
        </w:rPr>
      </w:pPr>
      <w:r w:rsidRPr="00F83534">
        <w:rPr>
          <w:b/>
          <w:bCs/>
          <w:color w:val="0070C0"/>
          <w:sz w:val="20"/>
          <w:szCs w:val="20"/>
        </w:rPr>
        <w:t xml:space="preserve">Question 5 </w:t>
      </w:r>
      <w:r w:rsidRPr="00F83534">
        <w:rPr>
          <w:color w:val="0070C0"/>
          <w:sz w:val="20"/>
          <w:szCs w:val="20"/>
        </w:rPr>
        <w:t xml:space="preserve">Êtes-vous favorable à la méthode envisagée par la CRE concernant la modification de la formule d’évolution annuelle de GRDF ? </w:t>
      </w:r>
    </w:p>
    <w:p w14:paraId="60691FD0" w14:textId="77777777" w:rsidR="00A93EEE" w:rsidRDefault="00F83534" w:rsidP="0088505E">
      <w:pPr>
        <w:jc w:val="both"/>
        <w:rPr>
          <w:rFonts w:ascii="Calibri" w:eastAsia="Calibri" w:hAnsi="Calibri" w:cs="Calibri"/>
          <w:color w:val="000000" w:themeColor="text1"/>
          <w:sz w:val="22"/>
          <w:szCs w:val="22"/>
        </w:rPr>
      </w:pPr>
      <w:r w:rsidRPr="00E735D6">
        <w:rPr>
          <w:rFonts w:ascii="Calibri" w:hAnsi="Calibri" w:cs="Calibri"/>
        </w:rPr>
        <w:t>Réponse ENGIE </w:t>
      </w:r>
      <w:r w:rsidRPr="00B302C1">
        <w:rPr>
          <w:rFonts w:ascii="Calibri" w:eastAsia="Calibri" w:hAnsi="Calibri" w:cs="Calibri"/>
          <w:color w:val="000000" w:themeColor="text1"/>
          <w:sz w:val="22"/>
          <w:szCs w:val="22"/>
        </w:rPr>
        <w:t xml:space="preserve">: </w:t>
      </w:r>
    </w:p>
    <w:p w14:paraId="58B3E112" w14:textId="34EC1833" w:rsidR="0088505E" w:rsidRPr="0088505E" w:rsidRDefault="00B302C1" w:rsidP="0088505E">
      <w:pPr>
        <w:jc w:val="both"/>
        <w:rPr>
          <w:rFonts w:ascii="Calibri" w:hAnsi="Calibri" w:cs="Calibri"/>
        </w:rPr>
      </w:pPr>
      <w:r w:rsidRPr="00B302C1">
        <w:rPr>
          <w:rFonts w:ascii="Calibri" w:eastAsia="Calibri" w:hAnsi="Calibri" w:cs="Calibri"/>
          <w:color w:val="000000" w:themeColor="text1"/>
          <w:sz w:val="22"/>
          <w:szCs w:val="22"/>
        </w:rPr>
        <w:t>cf. Question 4 - ENGIE est favorable à la proposition de la CRE.</w:t>
      </w:r>
    </w:p>
    <w:p w14:paraId="74942B05" w14:textId="68654139" w:rsidR="00E62E3A" w:rsidRPr="00F83534" w:rsidRDefault="00E62E3A" w:rsidP="00E62E3A">
      <w:pPr>
        <w:pStyle w:val="Default"/>
        <w:jc w:val="both"/>
        <w:rPr>
          <w:color w:val="0070C0"/>
          <w:sz w:val="20"/>
          <w:szCs w:val="20"/>
        </w:rPr>
      </w:pPr>
    </w:p>
    <w:p w14:paraId="0F30C0FE" w14:textId="77777777" w:rsidR="00F83534" w:rsidRPr="00F83534" w:rsidRDefault="00E62E3A" w:rsidP="00F83534">
      <w:pPr>
        <w:pStyle w:val="Default"/>
        <w:jc w:val="both"/>
        <w:rPr>
          <w:sz w:val="20"/>
          <w:szCs w:val="20"/>
        </w:rPr>
      </w:pPr>
      <w:r w:rsidRPr="00F83534">
        <w:rPr>
          <w:b/>
          <w:bCs/>
          <w:color w:val="0070C0"/>
          <w:sz w:val="20"/>
          <w:szCs w:val="20"/>
        </w:rPr>
        <w:t xml:space="preserve">Question 6 </w:t>
      </w:r>
      <w:r w:rsidRPr="00F83534">
        <w:rPr>
          <w:color w:val="0070C0"/>
          <w:sz w:val="20"/>
          <w:szCs w:val="20"/>
        </w:rPr>
        <w:t xml:space="preserve">Êtes-vous favorable à la proposition de la CRE concernant les modalités de versement des compensations prévisionnelles ? </w:t>
      </w:r>
    </w:p>
    <w:p w14:paraId="0ADE1C2A" w14:textId="77777777" w:rsidR="0089617B" w:rsidRDefault="00F83534" w:rsidP="00F83534">
      <w:pPr>
        <w:rPr>
          <w:rFonts w:ascii="Calibri" w:hAnsi="Calibri" w:cs="Calibri"/>
        </w:rPr>
      </w:pPr>
      <w:r w:rsidRPr="00E735D6">
        <w:rPr>
          <w:rFonts w:ascii="Calibri" w:hAnsi="Calibri" w:cs="Calibri"/>
        </w:rPr>
        <w:t xml:space="preserve">Réponse ENGIE : </w:t>
      </w:r>
    </w:p>
    <w:p w14:paraId="5C6889E4" w14:textId="20196FAE" w:rsidR="00F83534" w:rsidRPr="00B302C1" w:rsidRDefault="0088505E" w:rsidP="00F83534">
      <w:pPr>
        <w:rPr>
          <w:rFonts w:ascii="Calibri" w:eastAsia="Calibri" w:hAnsi="Calibri" w:cs="Calibri"/>
          <w:color w:val="000000" w:themeColor="text1"/>
          <w:sz w:val="22"/>
          <w:szCs w:val="22"/>
        </w:rPr>
      </w:pPr>
      <w:r w:rsidRPr="00B302C1">
        <w:rPr>
          <w:rFonts w:ascii="Calibri" w:eastAsia="Calibri" w:hAnsi="Calibri" w:cs="Calibri"/>
          <w:color w:val="000000" w:themeColor="text1"/>
          <w:sz w:val="22"/>
          <w:szCs w:val="22"/>
        </w:rPr>
        <w:t>ENGIE est favorable à la proposition de la CRE concernant les modalités de versement des compensations prévisionnelles</w:t>
      </w:r>
      <w:r w:rsidR="0089617B" w:rsidRPr="00B302C1">
        <w:rPr>
          <w:rFonts w:ascii="Calibri" w:eastAsia="Calibri" w:hAnsi="Calibri" w:cs="Calibri"/>
          <w:color w:val="000000" w:themeColor="text1"/>
          <w:sz w:val="22"/>
          <w:szCs w:val="22"/>
        </w:rPr>
        <w:t xml:space="preserve"> qui, en pratique, transiteront de GRDF vers les GRD locaux</w:t>
      </w:r>
      <w:r w:rsidRPr="00B302C1">
        <w:rPr>
          <w:rFonts w:ascii="Calibri" w:eastAsia="Calibri" w:hAnsi="Calibri" w:cs="Calibri"/>
          <w:color w:val="000000" w:themeColor="text1"/>
          <w:sz w:val="22"/>
          <w:szCs w:val="22"/>
        </w:rPr>
        <w:t>.</w:t>
      </w:r>
    </w:p>
    <w:p w14:paraId="577A32E4" w14:textId="0F218C86" w:rsidR="0088505E" w:rsidRPr="00B302C1" w:rsidRDefault="0088505E" w:rsidP="0088505E">
      <w:pPr>
        <w:jc w:val="both"/>
        <w:rPr>
          <w:rFonts w:ascii="Calibri" w:eastAsia="Calibri" w:hAnsi="Calibri" w:cs="Calibri"/>
          <w:color w:val="000000" w:themeColor="text1"/>
          <w:sz w:val="22"/>
          <w:szCs w:val="22"/>
        </w:rPr>
      </w:pPr>
      <w:r w:rsidRPr="00B302C1">
        <w:rPr>
          <w:rFonts w:ascii="Calibri" w:eastAsia="Calibri" w:hAnsi="Calibri" w:cs="Calibri"/>
          <w:color w:val="000000" w:themeColor="text1"/>
          <w:sz w:val="22"/>
          <w:szCs w:val="22"/>
        </w:rPr>
        <w:t xml:space="preserve">Cependant, ENGIE note que ces modalités et le calendrier de versement envisagé </w:t>
      </w:r>
      <w:r w:rsidR="0089617B" w:rsidRPr="00B302C1">
        <w:rPr>
          <w:rFonts w:ascii="Calibri" w:eastAsia="Calibri" w:hAnsi="Calibri" w:cs="Calibri"/>
          <w:color w:val="000000" w:themeColor="text1"/>
          <w:sz w:val="22"/>
          <w:szCs w:val="22"/>
        </w:rPr>
        <w:t>impliquent des coûts</w:t>
      </w:r>
      <w:r w:rsidRPr="00B302C1">
        <w:rPr>
          <w:rFonts w:ascii="Calibri" w:eastAsia="Calibri" w:hAnsi="Calibri" w:cs="Calibri"/>
          <w:color w:val="000000" w:themeColor="text1"/>
          <w:sz w:val="22"/>
          <w:szCs w:val="22"/>
        </w:rPr>
        <w:t xml:space="preserve"> de gestion et </w:t>
      </w:r>
      <w:r w:rsidR="0089617B" w:rsidRPr="00B302C1">
        <w:rPr>
          <w:rFonts w:ascii="Calibri" w:eastAsia="Calibri" w:hAnsi="Calibri" w:cs="Calibri"/>
          <w:color w:val="000000" w:themeColor="text1"/>
          <w:sz w:val="22"/>
          <w:szCs w:val="22"/>
        </w:rPr>
        <w:t xml:space="preserve">des </w:t>
      </w:r>
      <w:r w:rsidRPr="00B302C1">
        <w:rPr>
          <w:rFonts w:ascii="Calibri" w:eastAsia="Calibri" w:hAnsi="Calibri" w:cs="Calibri"/>
          <w:color w:val="000000" w:themeColor="text1"/>
          <w:sz w:val="22"/>
          <w:szCs w:val="22"/>
        </w:rPr>
        <w:t xml:space="preserve">frais de portage </w:t>
      </w:r>
      <w:r w:rsidR="0089617B" w:rsidRPr="00B302C1">
        <w:rPr>
          <w:rFonts w:ascii="Calibri" w:eastAsia="Calibri" w:hAnsi="Calibri" w:cs="Calibri"/>
          <w:color w:val="000000" w:themeColor="text1"/>
          <w:sz w:val="22"/>
          <w:szCs w:val="22"/>
        </w:rPr>
        <w:t>supportés par</w:t>
      </w:r>
      <w:r w:rsidRPr="00B302C1">
        <w:rPr>
          <w:rFonts w:ascii="Calibri" w:eastAsia="Calibri" w:hAnsi="Calibri" w:cs="Calibri"/>
          <w:color w:val="000000" w:themeColor="text1"/>
          <w:sz w:val="22"/>
          <w:szCs w:val="22"/>
        </w:rPr>
        <w:t xml:space="preserve"> le Distributeur national. </w:t>
      </w:r>
      <w:r w:rsidR="00A422B7" w:rsidRPr="00B302C1">
        <w:rPr>
          <w:rFonts w:ascii="Calibri" w:eastAsia="Calibri" w:hAnsi="Calibri" w:cs="Calibri"/>
          <w:color w:val="000000" w:themeColor="text1"/>
          <w:sz w:val="22"/>
          <w:szCs w:val="22"/>
        </w:rPr>
        <w:t xml:space="preserve">Il serait </w:t>
      </w:r>
      <w:r w:rsidR="0037658B" w:rsidRPr="00B302C1">
        <w:rPr>
          <w:rFonts w:ascii="Calibri" w:eastAsia="Calibri" w:hAnsi="Calibri" w:cs="Calibri"/>
          <w:color w:val="000000" w:themeColor="text1"/>
          <w:sz w:val="22"/>
          <w:szCs w:val="22"/>
        </w:rPr>
        <w:t>approprié</w:t>
      </w:r>
      <w:r w:rsidR="00A422B7" w:rsidRPr="00B302C1">
        <w:rPr>
          <w:rFonts w:ascii="Calibri" w:eastAsia="Calibri" w:hAnsi="Calibri" w:cs="Calibri"/>
          <w:color w:val="000000" w:themeColor="text1"/>
          <w:sz w:val="22"/>
          <w:szCs w:val="22"/>
        </w:rPr>
        <w:t xml:space="preserve"> que c</w:t>
      </w:r>
      <w:r w:rsidRPr="00B302C1">
        <w:rPr>
          <w:rFonts w:ascii="Calibri" w:eastAsia="Calibri" w:hAnsi="Calibri" w:cs="Calibri"/>
          <w:color w:val="000000" w:themeColor="text1"/>
          <w:sz w:val="22"/>
          <w:szCs w:val="22"/>
        </w:rPr>
        <w:t>e</w:t>
      </w:r>
      <w:r w:rsidR="00A422B7" w:rsidRPr="00B302C1">
        <w:rPr>
          <w:rFonts w:ascii="Calibri" w:eastAsia="Calibri" w:hAnsi="Calibri" w:cs="Calibri"/>
          <w:color w:val="000000" w:themeColor="text1"/>
          <w:sz w:val="22"/>
          <w:szCs w:val="22"/>
        </w:rPr>
        <w:t>s</w:t>
      </w:r>
      <w:r w:rsidRPr="00B302C1">
        <w:rPr>
          <w:rFonts w:ascii="Calibri" w:eastAsia="Calibri" w:hAnsi="Calibri" w:cs="Calibri"/>
          <w:color w:val="000000" w:themeColor="text1"/>
          <w:sz w:val="22"/>
          <w:szCs w:val="22"/>
        </w:rPr>
        <w:t xml:space="preserve"> coût</w:t>
      </w:r>
      <w:r w:rsidR="00A422B7" w:rsidRPr="00B302C1">
        <w:rPr>
          <w:rFonts w:ascii="Calibri" w:eastAsia="Calibri" w:hAnsi="Calibri" w:cs="Calibri"/>
          <w:color w:val="000000" w:themeColor="text1"/>
          <w:sz w:val="22"/>
          <w:szCs w:val="22"/>
        </w:rPr>
        <w:t>s (pour l’essentiel de trésorerie)</w:t>
      </w:r>
      <w:r w:rsidRPr="00B302C1">
        <w:rPr>
          <w:rFonts w:ascii="Calibri" w:eastAsia="Calibri" w:hAnsi="Calibri" w:cs="Calibri"/>
          <w:color w:val="000000" w:themeColor="text1"/>
          <w:sz w:val="22"/>
          <w:szCs w:val="22"/>
        </w:rPr>
        <w:t xml:space="preserve"> </w:t>
      </w:r>
      <w:r w:rsidR="00A422B7" w:rsidRPr="00B302C1">
        <w:rPr>
          <w:rFonts w:ascii="Calibri" w:eastAsia="Calibri" w:hAnsi="Calibri" w:cs="Calibri"/>
          <w:color w:val="000000" w:themeColor="text1"/>
          <w:sz w:val="22"/>
          <w:szCs w:val="22"/>
        </w:rPr>
        <w:t>soient</w:t>
      </w:r>
      <w:r w:rsidRPr="00B302C1">
        <w:rPr>
          <w:rFonts w:ascii="Calibri" w:eastAsia="Calibri" w:hAnsi="Calibri" w:cs="Calibri"/>
          <w:color w:val="000000" w:themeColor="text1"/>
          <w:sz w:val="22"/>
          <w:szCs w:val="22"/>
        </w:rPr>
        <w:t xml:space="preserve"> explicitement couvert par le revenu autorisé de GRDF. Dans le cas contraire, ce risque supplémentaire devrait être pris en compte dans le CRCP de GRDF (ce qui plaide pour un déplafonnement du coefficient « k » du CRCP).</w:t>
      </w:r>
    </w:p>
    <w:p w14:paraId="05FF3411" w14:textId="0855B991" w:rsidR="0088505E" w:rsidRPr="003516CB" w:rsidRDefault="0088505E" w:rsidP="003516CB">
      <w:pPr>
        <w:jc w:val="both"/>
        <w:rPr>
          <w:rFonts w:ascii="Calibri" w:hAnsi="Calibri" w:cs="Calibri"/>
        </w:rPr>
      </w:pPr>
      <w:r w:rsidRPr="00B302C1">
        <w:rPr>
          <w:rFonts w:ascii="Calibri" w:eastAsia="Calibri" w:hAnsi="Calibri" w:cs="Calibri"/>
          <w:color w:val="000000" w:themeColor="text1"/>
          <w:sz w:val="22"/>
          <w:szCs w:val="22"/>
        </w:rPr>
        <w:t>Nota - en électricité la couverture de ces frais de gestion portés par ENEDIS est explicitement prévue dans l'article L121-29 du code de l'énergie :</w:t>
      </w:r>
      <w:r w:rsidRPr="003516CB">
        <w:rPr>
          <w:rFonts w:ascii="Calibri" w:hAnsi="Calibri" w:cs="Calibri"/>
        </w:rPr>
        <w:t xml:space="preserve"> "(...) </w:t>
      </w:r>
      <w:r w:rsidRPr="003516CB">
        <w:rPr>
          <w:rFonts w:ascii="Calibri" w:hAnsi="Calibri" w:cs="Calibri"/>
          <w:i/>
          <w:iCs/>
        </w:rPr>
        <w:t>Les coûts résultant des mécanismes de péréquation sont couverts par les tarifs d'utilisation des réseaux publics de distribution d'électricité</w:t>
      </w:r>
      <w:r w:rsidRPr="003516CB">
        <w:rPr>
          <w:rFonts w:ascii="Calibri" w:hAnsi="Calibri" w:cs="Calibri"/>
        </w:rPr>
        <w:t xml:space="preserve">. (...)". </w:t>
      </w:r>
      <w:r w:rsidRPr="00B302C1">
        <w:rPr>
          <w:rFonts w:ascii="Calibri" w:eastAsia="Calibri" w:hAnsi="Calibri" w:cs="Calibri"/>
          <w:color w:val="000000" w:themeColor="text1"/>
          <w:sz w:val="22"/>
          <w:szCs w:val="22"/>
        </w:rPr>
        <w:t xml:space="preserve">Il y a donc une logique à procéder de même s’agissant de la péréquation du réseau gaz </w:t>
      </w:r>
    </w:p>
    <w:p w14:paraId="7343525A" w14:textId="70D77EF9" w:rsidR="00E62E3A" w:rsidRPr="00F83534" w:rsidRDefault="00E62E3A" w:rsidP="00E62E3A">
      <w:pPr>
        <w:pStyle w:val="Default"/>
        <w:jc w:val="both"/>
        <w:rPr>
          <w:color w:val="0070C0"/>
          <w:sz w:val="20"/>
          <w:szCs w:val="20"/>
        </w:rPr>
      </w:pPr>
    </w:p>
    <w:p w14:paraId="3F92DA4E" w14:textId="77777777" w:rsidR="00F83534" w:rsidRPr="00F83534" w:rsidRDefault="00E62E3A" w:rsidP="00F83534">
      <w:pPr>
        <w:pStyle w:val="Default"/>
        <w:jc w:val="both"/>
        <w:rPr>
          <w:sz w:val="20"/>
          <w:szCs w:val="20"/>
        </w:rPr>
      </w:pPr>
      <w:r w:rsidRPr="00F83534">
        <w:rPr>
          <w:b/>
          <w:bCs/>
          <w:color w:val="0070C0"/>
          <w:sz w:val="20"/>
          <w:szCs w:val="20"/>
        </w:rPr>
        <w:t xml:space="preserve">Question 7 </w:t>
      </w:r>
      <w:r w:rsidRPr="00F83534">
        <w:rPr>
          <w:color w:val="0070C0"/>
          <w:sz w:val="20"/>
          <w:szCs w:val="20"/>
        </w:rPr>
        <w:t>Avez-vous des remarques sur les montants des compensations prévisionnelles et sur les scénarios d’impact de la péréquation tarifaire sur le tarif de GRDF au 1</w:t>
      </w:r>
      <w:r w:rsidRPr="00F83534">
        <w:rPr>
          <w:color w:val="0070C0"/>
          <w:sz w:val="13"/>
          <w:szCs w:val="13"/>
        </w:rPr>
        <w:t xml:space="preserve">er </w:t>
      </w:r>
      <w:r w:rsidRPr="00F83534">
        <w:rPr>
          <w:color w:val="0070C0"/>
          <w:sz w:val="20"/>
          <w:szCs w:val="20"/>
        </w:rPr>
        <w:t xml:space="preserve">juillet 2026 ? </w:t>
      </w:r>
    </w:p>
    <w:p w14:paraId="49403320" w14:textId="0775C65E" w:rsidR="02A9FCC1" w:rsidRDefault="73AA8EE9" w:rsidP="00133E8E">
      <w:pPr>
        <w:rPr>
          <w:rFonts w:ascii="Calibri" w:eastAsia="Calibri" w:hAnsi="Calibri" w:cs="Calibri"/>
          <w:color w:val="000000" w:themeColor="text1"/>
          <w:sz w:val="22"/>
          <w:szCs w:val="22"/>
        </w:rPr>
      </w:pPr>
      <w:r w:rsidRPr="3F83959B">
        <w:rPr>
          <w:rFonts w:ascii="Calibri" w:hAnsi="Calibri" w:cs="Calibri"/>
        </w:rPr>
        <w:t xml:space="preserve">Réponse ENGIE : </w:t>
      </w:r>
      <w:r w:rsidR="583FCDD4" w:rsidRPr="3F83959B">
        <w:rPr>
          <w:rFonts w:ascii="Calibri" w:hAnsi="Calibri" w:cs="Calibri"/>
        </w:rPr>
        <w:t xml:space="preserve"> </w:t>
      </w:r>
      <w:r w:rsidR="00133E8E">
        <w:rPr>
          <w:rFonts w:ascii="Calibri" w:eastAsia="Calibri" w:hAnsi="Calibri" w:cs="Calibri"/>
          <w:color w:val="000000" w:themeColor="text1"/>
          <w:sz w:val="22"/>
          <w:szCs w:val="22"/>
        </w:rPr>
        <w:t>ENGIE</w:t>
      </w:r>
      <w:r w:rsidR="00B50F62">
        <w:rPr>
          <w:rFonts w:ascii="Calibri" w:eastAsia="Calibri" w:hAnsi="Calibri" w:cs="Calibri"/>
          <w:color w:val="000000" w:themeColor="text1"/>
          <w:sz w:val="22"/>
          <w:szCs w:val="22"/>
        </w:rPr>
        <w:t xml:space="preserve"> expr</w:t>
      </w:r>
      <w:r w:rsidR="00FD2425">
        <w:rPr>
          <w:rFonts w:ascii="Calibri" w:eastAsia="Calibri" w:hAnsi="Calibri" w:cs="Calibri"/>
          <w:color w:val="000000" w:themeColor="text1"/>
          <w:sz w:val="22"/>
          <w:szCs w:val="22"/>
        </w:rPr>
        <w:t>ime le so</w:t>
      </w:r>
      <w:r w:rsidR="008D6722">
        <w:rPr>
          <w:rFonts w:ascii="Calibri" w:eastAsia="Calibri" w:hAnsi="Calibri" w:cs="Calibri"/>
          <w:color w:val="000000" w:themeColor="text1"/>
          <w:sz w:val="22"/>
          <w:szCs w:val="22"/>
        </w:rPr>
        <w:t xml:space="preserve">uci que </w:t>
      </w:r>
      <w:r w:rsidR="0060138D">
        <w:rPr>
          <w:rFonts w:ascii="Calibri" w:eastAsia="Calibri" w:hAnsi="Calibri" w:cs="Calibri"/>
          <w:color w:val="000000" w:themeColor="text1"/>
          <w:sz w:val="22"/>
          <w:szCs w:val="22"/>
        </w:rPr>
        <w:t>l</w:t>
      </w:r>
      <w:r w:rsidR="02A9FCC1" w:rsidRPr="3F83959B">
        <w:rPr>
          <w:rFonts w:ascii="Calibri" w:eastAsia="Calibri" w:hAnsi="Calibri" w:cs="Calibri"/>
          <w:color w:val="000000" w:themeColor="text1"/>
          <w:sz w:val="22"/>
          <w:szCs w:val="22"/>
        </w:rPr>
        <w:t>’impact prix sur le</w:t>
      </w:r>
      <w:r w:rsidR="00F3736D">
        <w:rPr>
          <w:rFonts w:ascii="Calibri" w:eastAsia="Calibri" w:hAnsi="Calibri" w:cs="Calibri"/>
          <w:color w:val="000000" w:themeColor="text1"/>
          <w:sz w:val="22"/>
          <w:szCs w:val="22"/>
        </w:rPr>
        <w:t>s d</w:t>
      </w:r>
      <w:r w:rsidR="00813B1C">
        <w:rPr>
          <w:rFonts w:ascii="Calibri" w:eastAsia="Calibri" w:hAnsi="Calibri" w:cs="Calibri"/>
          <w:color w:val="000000" w:themeColor="text1"/>
          <w:sz w:val="22"/>
          <w:szCs w:val="22"/>
        </w:rPr>
        <w:t>ifférents</w:t>
      </w:r>
      <w:r w:rsidR="02A9FCC1" w:rsidRPr="3F83959B">
        <w:rPr>
          <w:rFonts w:ascii="Calibri" w:eastAsia="Calibri" w:hAnsi="Calibri" w:cs="Calibri"/>
          <w:color w:val="000000" w:themeColor="text1"/>
          <w:sz w:val="22"/>
          <w:szCs w:val="22"/>
        </w:rPr>
        <w:t xml:space="preserve"> client</w:t>
      </w:r>
      <w:r w:rsidR="00BB6E24">
        <w:rPr>
          <w:rFonts w:ascii="Calibri" w:eastAsia="Calibri" w:hAnsi="Calibri" w:cs="Calibri"/>
          <w:color w:val="000000" w:themeColor="text1"/>
          <w:sz w:val="22"/>
          <w:szCs w:val="22"/>
        </w:rPr>
        <w:t>s</w:t>
      </w:r>
      <w:r w:rsidR="02A9FCC1" w:rsidRPr="3F83959B">
        <w:rPr>
          <w:rFonts w:ascii="Calibri" w:eastAsia="Calibri" w:hAnsi="Calibri" w:cs="Calibri"/>
          <w:color w:val="000000" w:themeColor="text1"/>
          <w:sz w:val="22"/>
          <w:szCs w:val="22"/>
        </w:rPr>
        <w:t xml:space="preserve"> (Abonnement / relève résiduelle / Terme de débit normalisé) </w:t>
      </w:r>
      <w:r w:rsidR="002E1B8F">
        <w:rPr>
          <w:rFonts w:ascii="Calibri" w:eastAsia="Calibri" w:hAnsi="Calibri" w:cs="Calibri"/>
          <w:color w:val="000000" w:themeColor="text1"/>
          <w:sz w:val="22"/>
          <w:szCs w:val="22"/>
        </w:rPr>
        <w:t>soit</w:t>
      </w:r>
      <w:r w:rsidR="02A9FCC1" w:rsidRPr="3F83959B">
        <w:rPr>
          <w:rFonts w:ascii="Calibri" w:eastAsia="Calibri" w:hAnsi="Calibri" w:cs="Calibri"/>
          <w:color w:val="000000" w:themeColor="text1"/>
          <w:sz w:val="22"/>
          <w:szCs w:val="22"/>
        </w:rPr>
        <w:t xml:space="preserve"> le plus minime possible</w:t>
      </w:r>
      <w:r w:rsidR="000037F4">
        <w:rPr>
          <w:rFonts w:ascii="Calibri" w:eastAsia="Calibri" w:hAnsi="Calibri" w:cs="Calibri"/>
          <w:color w:val="000000" w:themeColor="text1"/>
          <w:sz w:val="22"/>
          <w:szCs w:val="22"/>
        </w:rPr>
        <w:t xml:space="preserve">, </w:t>
      </w:r>
      <w:r w:rsidR="02A9FCC1" w:rsidRPr="3F83959B">
        <w:rPr>
          <w:rFonts w:ascii="Calibri" w:eastAsia="Calibri" w:hAnsi="Calibri" w:cs="Calibri"/>
          <w:color w:val="000000" w:themeColor="text1"/>
          <w:sz w:val="22"/>
          <w:szCs w:val="22"/>
        </w:rPr>
        <w:t>s’agi</w:t>
      </w:r>
      <w:r w:rsidR="00D9342D">
        <w:rPr>
          <w:rFonts w:ascii="Calibri" w:eastAsia="Calibri" w:hAnsi="Calibri" w:cs="Calibri"/>
          <w:color w:val="000000" w:themeColor="text1"/>
          <w:sz w:val="22"/>
          <w:szCs w:val="22"/>
        </w:rPr>
        <w:t>ssan</w:t>
      </w:r>
      <w:r w:rsidR="02A9FCC1" w:rsidRPr="3F83959B">
        <w:rPr>
          <w:rFonts w:ascii="Calibri" w:eastAsia="Calibri" w:hAnsi="Calibri" w:cs="Calibri"/>
          <w:color w:val="000000" w:themeColor="text1"/>
          <w:sz w:val="22"/>
          <w:szCs w:val="22"/>
        </w:rPr>
        <w:t xml:space="preserve">t d’une révision </w:t>
      </w:r>
      <w:r w:rsidR="008D0896">
        <w:rPr>
          <w:rFonts w:ascii="Calibri" w:eastAsia="Calibri" w:hAnsi="Calibri" w:cs="Calibri"/>
          <w:color w:val="000000" w:themeColor="text1"/>
          <w:sz w:val="22"/>
          <w:szCs w:val="22"/>
        </w:rPr>
        <w:t>annu</w:t>
      </w:r>
      <w:r w:rsidR="007A038B">
        <w:rPr>
          <w:rFonts w:ascii="Calibri" w:eastAsia="Calibri" w:hAnsi="Calibri" w:cs="Calibri"/>
          <w:color w:val="000000" w:themeColor="text1"/>
          <w:sz w:val="22"/>
          <w:szCs w:val="22"/>
        </w:rPr>
        <w:t>elle</w:t>
      </w:r>
      <w:r w:rsidR="02A9FCC1" w:rsidRPr="3F83959B">
        <w:rPr>
          <w:rFonts w:ascii="Calibri" w:eastAsia="Calibri" w:hAnsi="Calibri" w:cs="Calibri"/>
          <w:color w:val="000000" w:themeColor="text1"/>
          <w:sz w:val="22"/>
          <w:szCs w:val="22"/>
        </w:rPr>
        <w:t xml:space="preserve"> </w:t>
      </w:r>
      <w:r w:rsidR="00FC3CE6">
        <w:rPr>
          <w:rFonts w:ascii="Calibri" w:eastAsia="Calibri" w:hAnsi="Calibri" w:cs="Calibri"/>
          <w:color w:val="000000" w:themeColor="text1"/>
          <w:sz w:val="22"/>
          <w:szCs w:val="22"/>
        </w:rPr>
        <w:t>« </w:t>
      </w:r>
      <w:r w:rsidR="00B15BF2">
        <w:rPr>
          <w:rFonts w:ascii="Calibri" w:eastAsia="Calibri" w:hAnsi="Calibri" w:cs="Calibri"/>
          <w:color w:val="000000" w:themeColor="text1"/>
          <w:sz w:val="22"/>
          <w:szCs w:val="22"/>
        </w:rPr>
        <w:t>cla</w:t>
      </w:r>
      <w:r w:rsidR="008863F4">
        <w:rPr>
          <w:rFonts w:ascii="Calibri" w:eastAsia="Calibri" w:hAnsi="Calibri" w:cs="Calibri"/>
          <w:color w:val="000000" w:themeColor="text1"/>
          <w:sz w:val="22"/>
          <w:szCs w:val="22"/>
        </w:rPr>
        <w:t>ssique</w:t>
      </w:r>
      <w:r w:rsidR="00092DFF">
        <w:rPr>
          <w:rFonts w:ascii="Calibri" w:eastAsia="Calibri" w:hAnsi="Calibri" w:cs="Calibri"/>
          <w:color w:val="000000" w:themeColor="text1"/>
          <w:sz w:val="22"/>
          <w:szCs w:val="22"/>
        </w:rPr>
        <w:t xml:space="preserve"> » </w:t>
      </w:r>
      <w:r w:rsidR="02A9FCC1" w:rsidRPr="3F83959B">
        <w:rPr>
          <w:rFonts w:ascii="Calibri" w:eastAsia="Calibri" w:hAnsi="Calibri" w:cs="Calibri"/>
          <w:color w:val="000000" w:themeColor="text1"/>
          <w:sz w:val="22"/>
          <w:szCs w:val="22"/>
        </w:rPr>
        <w:t xml:space="preserve">au 1er juillet, contrairement au passage à un nouvel ATRD.  </w:t>
      </w:r>
    </w:p>
    <w:p w14:paraId="78BB4A7E" w14:textId="22E545F9" w:rsidR="00E62E3A" w:rsidRPr="00F83534" w:rsidRDefault="00E62E3A" w:rsidP="00E62E3A">
      <w:pPr>
        <w:pStyle w:val="Default"/>
        <w:jc w:val="both"/>
        <w:rPr>
          <w:color w:val="0070C0"/>
          <w:sz w:val="20"/>
          <w:szCs w:val="20"/>
        </w:rPr>
      </w:pPr>
    </w:p>
    <w:p w14:paraId="3452940D" w14:textId="254B03C0" w:rsidR="00E62E3A" w:rsidRPr="00F83534" w:rsidRDefault="00E62E3A" w:rsidP="00F83534">
      <w:pPr>
        <w:pStyle w:val="Default"/>
        <w:jc w:val="both"/>
        <w:rPr>
          <w:color w:val="0070C0"/>
          <w:sz w:val="20"/>
          <w:szCs w:val="20"/>
        </w:rPr>
      </w:pPr>
      <w:r w:rsidRPr="00F83534">
        <w:rPr>
          <w:b/>
          <w:bCs/>
          <w:color w:val="0070C0"/>
          <w:sz w:val="20"/>
          <w:szCs w:val="20"/>
        </w:rPr>
        <w:lastRenderedPageBreak/>
        <w:t xml:space="preserve">Question 8 </w:t>
      </w:r>
      <w:r w:rsidRPr="00F83534">
        <w:rPr>
          <w:color w:val="0070C0"/>
          <w:sz w:val="20"/>
          <w:szCs w:val="20"/>
        </w:rPr>
        <w:t xml:space="preserve">Avez-vous d’autres remarques concernant les orientations envisagées par la CRE pour la mise en </w:t>
      </w:r>
      <w:proofErr w:type="spellStart"/>
      <w:r w:rsidRPr="00F83534">
        <w:rPr>
          <w:color w:val="0070C0"/>
          <w:sz w:val="20"/>
          <w:szCs w:val="20"/>
        </w:rPr>
        <w:t>oeuvre</w:t>
      </w:r>
      <w:proofErr w:type="spellEnd"/>
      <w:r w:rsidRPr="00F83534">
        <w:rPr>
          <w:color w:val="0070C0"/>
          <w:sz w:val="20"/>
          <w:szCs w:val="20"/>
        </w:rPr>
        <w:t xml:space="preserve"> de la péréquation nationale des tarifs de distribution de gaz ? </w:t>
      </w:r>
    </w:p>
    <w:p w14:paraId="0AB6CA86" w14:textId="77777777" w:rsidR="00F83534" w:rsidRPr="00F83534" w:rsidRDefault="00F83534" w:rsidP="00F83534">
      <w:pPr>
        <w:pStyle w:val="Default"/>
        <w:jc w:val="both"/>
        <w:rPr>
          <w:sz w:val="20"/>
          <w:szCs w:val="20"/>
        </w:rPr>
      </w:pPr>
    </w:p>
    <w:p w14:paraId="5FF909E7" w14:textId="6CA41F2B" w:rsidR="00363E2B" w:rsidRPr="003516CB" w:rsidRDefault="00363E2B" w:rsidP="003516CB">
      <w:pPr>
        <w:jc w:val="both"/>
        <w:rPr>
          <w:rFonts w:ascii="Calibri" w:hAnsi="Calibri" w:cs="Calibri"/>
        </w:rPr>
      </w:pPr>
      <w:r w:rsidRPr="003516CB">
        <w:rPr>
          <w:rFonts w:ascii="Calibri" w:hAnsi="Calibri" w:cs="Calibri"/>
        </w:rPr>
        <w:t xml:space="preserve">Réponse ENGIE : </w:t>
      </w:r>
      <w:r w:rsidR="00A93EEE">
        <w:rPr>
          <w:rFonts w:ascii="Calibri" w:hAnsi="Calibri" w:cs="Calibri"/>
        </w:rPr>
        <w:t xml:space="preserve"> </w:t>
      </w:r>
      <w:r w:rsidR="003516CB" w:rsidRPr="00B302C1">
        <w:rPr>
          <w:rFonts w:ascii="Calibri" w:eastAsia="Calibri" w:hAnsi="Calibri" w:cs="Calibri"/>
          <w:color w:val="000000" w:themeColor="text1"/>
          <w:sz w:val="22"/>
          <w:szCs w:val="22"/>
        </w:rPr>
        <w:t>Pas de remarques d’ENGIE.</w:t>
      </w:r>
    </w:p>
    <w:p w14:paraId="28A66D25" w14:textId="55A40CC9" w:rsidR="00E62E3A" w:rsidRPr="008441AA" w:rsidRDefault="00E62E3A" w:rsidP="006917DE">
      <w:pPr>
        <w:rPr>
          <w:rFonts w:ascii="Calibri" w:eastAsia="Calibri" w:hAnsi="Calibri" w:cs="Calibri"/>
          <w:sz w:val="22"/>
          <w:szCs w:val="22"/>
        </w:rPr>
      </w:pPr>
    </w:p>
    <w:sectPr w:rsidR="00E62E3A" w:rsidRPr="008441A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Aptos&quot;,sans-serif">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E0FD0"/>
    <w:multiLevelType w:val="hybridMultilevel"/>
    <w:tmpl w:val="BC8613BC"/>
    <w:lvl w:ilvl="0" w:tplc="61161B04">
      <w:start w:val="1"/>
      <w:numFmt w:val="lowerLetter"/>
      <w:lvlText w:val="%1."/>
      <w:lvlJc w:val="left"/>
      <w:pPr>
        <w:tabs>
          <w:tab w:val="num" w:pos="360"/>
        </w:tabs>
        <w:ind w:left="360" w:hanging="360"/>
      </w:pPr>
    </w:lvl>
    <w:lvl w:ilvl="1" w:tplc="C13EEBFE">
      <w:start w:val="1"/>
      <w:numFmt w:val="lowerLetter"/>
      <w:lvlText w:val="%2."/>
      <w:lvlJc w:val="left"/>
      <w:pPr>
        <w:tabs>
          <w:tab w:val="num" w:pos="1080"/>
        </w:tabs>
        <w:ind w:left="1080" w:hanging="360"/>
      </w:pPr>
    </w:lvl>
    <w:lvl w:ilvl="2" w:tplc="098A6E52" w:tentative="1">
      <w:start w:val="1"/>
      <w:numFmt w:val="lowerLetter"/>
      <w:lvlText w:val="%3."/>
      <w:lvlJc w:val="left"/>
      <w:pPr>
        <w:tabs>
          <w:tab w:val="num" w:pos="1800"/>
        </w:tabs>
        <w:ind w:left="1800" w:hanging="360"/>
      </w:pPr>
    </w:lvl>
    <w:lvl w:ilvl="3" w:tplc="AB764B66" w:tentative="1">
      <w:start w:val="1"/>
      <w:numFmt w:val="lowerLetter"/>
      <w:lvlText w:val="%4."/>
      <w:lvlJc w:val="left"/>
      <w:pPr>
        <w:tabs>
          <w:tab w:val="num" w:pos="2520"/>
        </w:tabs>
        <w:ind w:left="2520" w:hanging="360"/>
      </w:pPr>
    </w:lvl>
    <w:lvl w:ilvl="4" w:tplc="096CC898" w:tentative="1">
      <w:start w:val="1"/>
      <w:numFmt w:val="lowerLetter"/>
      <w:lvlText w:val="%5."/>
      <w:lvlJc w:val="left"/>
      <w:pPr>
        <w:tabs>
          <w:tab w:val="num" w:pos="3240"/>
        </w:tabs>
        <w:ind w:left="3240" w:hanging="360"/>
      </w:pPr>
    </w:lvl>
    <w:lvl w:ilvl="5" w:tplc="1DA20FA8" w:tentative="1">
      <w:start w:val="1"/>
      <w:numFmt w:val="lowerLetter"/>
      <w:lvlText w:val="%6."/>
      <w:lvlJc w:val="left"/>
      <w:pPr>
        <w:tabs>
          <w:tab w:val="num" w:pos="3960"/>
        </w:tabs>
        <w:ind w:left="3960" w:hanging="360"/>
      </w:pPr>
    </w:lvl>
    <w:lvl w:ilvl="6" w:tplc="0B32D850" w:tentative="1">
      <w:start w:val="1"/>
      <w:numFmt w:val="lowerLetter"/>
      <w:lvlText w:val="%7."/>
      <w:lvlJc w:val="left"/>
      <w:pPr>
        <w:tabs>
          <w:tab w:val="num" w:pos="4680"/>
        </w:tabs>
        <w:ind w:left="4680" w:hanging="360"/>
      </w:pPr>
    </w:lvl>
    <w:lvl w:ilvl="7" w:tplc="06C87A10" w:tentative="1">
      <w:start w:val="1"/>
      <w:numFmt w:val="lowerLetter"/>
      <w:lvlText w:val="%8."/>
      <w:lvlJc w:val="left"/>
      <w:pPr>
        <w:tabs>
          <w:tab w:val="num" w:pos="5400"/>
        </w:tabs>
        <w:ind w:left="5400" w:hanging="360"/>
      </w:pPr>
    </w:lvl>
    <w:lvl w:ilvl="8" w:tplc="541AF45C" w:tentative="1">
      <w:start w:val="1"/>
      <w:numFmt w:val="lowerLetter"/>
      <w:lvlText w:val="%9."/>
      <w:lvlJc w:val="left"/>
      <w:pPr>
        <w:tabs>
          <w:tab w:val="num" w:pos="6120"/>
        </w:tabs>
        <w:ind w:left="6120" w:hanging="360"/>
      </w:pPr>
    </w:lvl>
  </w:abstractNum>
  <w:abstractNum w:abstractNumId="1" w15:restartNumberingAfterBreak="0">
    <w:nsid w:val="216B35EF"/>
    <w:multiLevelType w:val="hybridMultilevel"/>
    <w:tmpl w:val="FD0A0C42"/>
    <w:lvl w:ilvl="0" w:tplc="6548D130">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31F1405"/>
    <w:multiLevelType w:val="hybridMultilevel"/>
    <w:tmpl w:val="CB786640"/>
    <w:lvl w:ilvl="0" w:tplc="ABC88AFE">
      <w:start w:val="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9C41103"/>
    <w:multiLevelType w:val="hybridMultilevel"/>
    <w:tmpl w:val="FB92C700"/>
    <w:lvl w:ilvl="0" w:tplc="6FB84BB6">
      <w:start w:val="1"/>
      <w:numFmt w:val="lowerLetter"/>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395B1C9C"/>
    <w:multiLevelType w:val="multilevel"/>
    <w:tmpl w:val="A1141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CA555DE"/>
    <w:multiLevelType w:val="hybridMultilevel"/>
    <w:tmpl w:val="C82E31E4"/>
    <w:lvl w:ilvl="0" w:tplc="6548D130">
      <w:start w:val="1"/>
      <w:numFmt w:val="lowerLetter"/>
      <w:lvlText w:val="%1."/>
      <w:lvlJc w:val="left"/>
      <w:pPr>
        <w:tabs>
          <w:tab w:val="num" w:pos="720"/>
        </w:tabs>
        <w:ind w:left="720" w:hanging="360"/>
      </w:pPr>
    </w:lvl>
    <w:lvl w:ilvl="1" w:tplc="A85C8110" w:tentative="1">
      <w:start w:val="1"/>
      <w:numFmt w:val="lowerLetter"/>
      <w:lvlText w:val="%2."/>
      <w:lvlJc w:val="left"/>
      <w:pPr>
        <w:tabs>
          <w:tab w:val="num" w:pos="1440"/>
        </w:tabs>
        <w:ind w:left="1440" w:hanging="360"/>
      </w:pPr>
    </w:lvl>
    <w:lvl w:ilvl="2" w:tplc="DCA2F3D6" w:tentative="1">
      <w:start w:val="1"/>
      <w:numFmt w:val="lowerLetter"/>
      <w:lvlText w:val="%3."/>
      <w:lvlJc w:val="left"/>
      <w:pPr>
        <w:tabs>
          <w:tab w:val="num" w:pos="2160"/>
        </w:tabs>
        <w:ind w:left="2160" w:hanging="360"/>
      </w:pPr>
    </w:lvl>
    <w:lvl w:ilvl="3" w:tplc="EF72B1E6" w:tentative="1">
      <w:start w:val="1"/>
      <w:numFmt w:val="lowerLetter"/>
      <w:lvlText w:val="%4."/>
      <w:lvlJc w:val="left"/>
      <w:pPr>
        <w:tabs>
          <w:tab w:val="num" w:pos="2880"/>
        </w:tabs>
        <w:ind w:left="2880" w:hanging="360"/>
      </w:pPr>
    </w:lvl>
    <w:lvl w:ilvl="4" w:tplc="636A5130" w:tentative="1">
      <w:start w:val="1"/>
      <w:numFmt w:val="lowerLetter"/>
      <w:lvlText w:val="%5."/>
      <w:lvlJc w:val="left"/>
      <w:pPr>
        <w:tabs>
          <w:tab w:val="num" w:pos="3600"/>
        </w:tabs>
        <w:ind w:left="3600" w:hanging="360"/>
      </w:pPr>
    </w:lvl>
    <w:lvl w:ilvl="5" w:tplc="35B0276A" w:tentative="1">
      <w:start w:val="1"/>
      <w:numFmt w:val="lowerLetter"/>
      <w:lvlText w:val="%6."/>
      <w:lvlJc w:val="left"/>
      <w:pPr>
        <w:tabs>
          <w:tab w:val="num" w:pos="4320"/>
        </w:tabs>
        <w:ind w:left="4320" w:hanging="360"/>
      </w:pPr>
    </w:lvl>
    <w:lvl w:ilvl="6" w:tplc="813655DA" w:tentative="1">
      <w:start w:val="1"/>
      <w:numFmt w:val="lowerLetter"/>
      <w:lvlText w:val="%7."/>
      <w:lvlJc w:val="left"/>
      <w:pPr>
        <w:tabs>
          <w:tab w:val="num" w:pos="5040"/>
        </w:tabs>
        <w:ind w:left="5040" w:hanging="360"/>
      </w:pPr>
    </w:lvl>
    <w:lvl w:ilvl="7" w:tplc="F5A67FEE" w:tentative="1">
      <w:start w:val="1"/>
      <w:numFmt w:val="lowerLetter"/>
      <w:lvlText w:val="%8."/>
      <w:lvlJc w:val="left"/>
      <w:pPr>
        <w:tabs>
          <w:tab w:val="num" w:pos="5760"/>
        </w:tabs>
        <w:ind w:left="5760" w:hanging="360"/>
      </w:pPr>
    </w:lvl>
    <w:lvl w:ilvl="8" w:tplc="2D52FBF4" w:tentative="1">
      <w:start w:val="1"/>
      <w:numFmt w:val="lowerLetter"/>
      <w:lvlText w:val="%9."/>
      <w:lvlJc w:val="left"/>
      <w:pPr>
        <w:tabs>
          <w:tab w:val="num" w:pos="6480"/>
        </w:tabs>
        <w:ind w:left="6480" w:hanging="360"/>
      </w:pPr>
    </w:lvl>
  </w:abstractNum>
  <w:abstractNum w:abstractNumId="6" w15:restartNumberingAfterBreak="0">
    <w:nsid w:val="402F0B2E"/>
    <w:multiLevelType w:val="hybridMultilevel"/>
    <w:tmpl w:val="16DEA8C8"/>
    <w:lvl w:ilvl="0" w:tplc="6548D130">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6AD65F5E"/>
    <w:multiLevelType w:val="hybridMultilevel"/>
    <w:tmpl w:val="FFFFFFFF"/>
    <w:lvl w:ilvl="0" w:tplc="2B0839DA">
      <w:start w:val="1"/>
      <w:numFmt w:val="bullet"/>
      <w:lvlText w:val="-"/>
      <w:lvlJc w:val="left"/>
      <w:pPr>
        <w:ind w:left="1068" w:hanging="360"/>
      </w:pPr>
      <w:rPr>
        <w:rFonts w:ascii="Aptos" w:hAnsi="Aptos" w:hint="default"/>
      </w:rPr>
    </w:lvl>
    <w:lvl w:ilvl="1" w:tplc="C5A49718">
      <w:start w:val="1"/>
      <w:numFmt w:val="bullet"/>
      <w:lvlText w:val="o"/>
      <w:lvlJc w:val="left"/>
      <w:pPr>
        <w:ind w:left="1788" w:hanging="360"/>
      </w:pPr>
      <w:rPr>
        <w:rFonts w:ascii="Courier New" w:hAnsi="Courier New" w:hint="default"/>
      </w:rPr>
    </w:lvl>
    <w:lvl w:ilvl="2" w:tplc="F46457F6">
      <w:start w:val="1"/>
      <w:numFmt w:val="bullet"/>
      <w:lvlText w:val=""/>
      <w:lvlJc w:val="left"/>
      <w:pPr>
        <w:ind w:left="2508" w:hanging="360"/>
      </w:pPr>
      <w:rPr>
        <w:rFonts w:ascii="Wingdings" w:hAnsi="Wingdings" w:hint="default"/>
      </w:rPr>
    </w:lvl>
    <w:lvl w:ilvl="3" w:tplc="00D6653C">
      <w:start w:val="1"/>
      <w:numFmt w:val="bullet"/>
      <w:lvlText w:val=""/>
      <w:lvlJc w:val="left"/>
      <w:pPr>
        <w:ind w:left="3228" w:hanging="360"/>
      </w:pPr>
      <w:rPr>
        <w:rFonts w:ascii="Symbol" w:hAnsi="Symbol" w:hint="default"/>
      </w:rPr>
    </w:lvl>
    <w:lvl w:ilvl="4" w:tplc="4754B0DE">
      <w:start w:val="1"/>
      <w:numFmt w:val="bullet"/>
      <w:lvlText w:val="o"/>
      <w:lvlJc w:val="left"/>
      <w:pPr>
        <w:ind w:left="3948" w:hanging="360"/>
      </w:pPr>
      <w:rPr>
        <w:rFonts w:ascii="Courier New" w:hAnsi="Courier New" w:hint="default"/>
      </w:rPr>
    </w:lvl>
    <w:lvl w:ilvl="5" w:tplc="DFB605A6">
      <w:start w:val="1"/>
      <w:numFmt w:val="bullet"/>
      <w:lvlText w:val=""/>
      <w:lvlJc w:val="left"/>
      <w:pPr>
        <w:ind w:left="4668" w:hanging="360"/>
      </w:pPr>
      <w:rPr>
        <w:rFonts w:ascii="Wingdings" w:hAnsi="Wingdings" w:hint="default"/>
      </w:rPr>
    </w:lvl>
    <w:lvl w:ilvl="6" w:tplc="22E65064">
      <w:start w:val="1"/>
      <w:numFmt w:val="bullet"/>
      <w:lvlText w:val=""/>
      <w:lvlJc w:val="left"/>
      <w:pPr>
        <w:ind w:left="5388" w:hanging="360"/>
      </w:pPr>
      <w:rPr>
        <w:rFonts w:ascii="Symbol" w:hAnsi="Symbol" w:hint="default"/>
      </w:rPr>
    </w:lvl>
    <w:lvl w:ilvl="7" w:tplc="6A7E060C">
      <w:start w:val="1"/>
      <w:numFmt w:val="bullet"/>
      <w:lvlText w:val="o"/>
      <w:lvlJc w:val="left"/>
      <w:pPr>
        <w:ind w:left="6108" w:hanging="360"/>
      </w:pPr>
      <w:rPr>
        <w:rFonts w:ascii="Courier New" w:hAnsi="Courier New" w:hint="default"/>
      </w:rPr>
    </w:lvl>
    <w:lvl w:ilvl="8" w:tplc="625CDB6E">
      <w:start w:val="1"/>
      <w:numFmt w:val="bullet"/>
      <w:lvlText w:val=""/>
      <w:lvlJc w:val="left"/>
      <w:pPr>
        <w:ind w:left="6828" w:hanging="360"/>
      </w:pPr>
      <w:rPr>
        <w:rFonts w:ascii="Wingdings" w:hAnsi="Wingdings" w:hint="default"/>
      </w:rPr>
    </w:lvl>
  </w:abstractNum>
  <w:abstractNum w:abstractNumId="8" w15:restartNumberingAfterBreak="0">
    <w:nsid w:val="6D6B6D69"/>
    <w:multiLevelType w:val="hybridMultilevel"/>
    <w:tmpl w:val="F880C942"/>
    <w:lvl w:ilvl="0" w:tplc="71B6EC0A">
      <w:start w:val="1"/>
      <w:numFmt w:val="bullet"/>
      <w:lvlText w:val="-"/>
      <w:lvlJc w:val="left"/>
      <w:pPr>
        <w:ind w:left="720" w:hanging="360"/>
      </w:pPr>
      <w:rPr>
        <w:rFonts w:ascii="&quot;Aptos&quot;,sans-serif" w:hAnsi="&quot;Aptos&quot;,sans-serif" w:hint="default"/>
      </w:rPr>
    </w:lvl>
    <w:lvl w:ilvl="1" w:tplc="C150900E">
      <w:start w:val="1"/>
      <w:numFmt w:val="bullet"/>
      <w:lvlText w:val="o"/>
      <w:lvlJc w:val="left"/>
      <w:pPr>
        <w:ind w:left="1440" w:hanging="360"/>
      </w:pPr>
      <w:rPr>
        <w:rFonts w:ascii="Courier New" w:hAnsi="Courier New" w:hint="default"/>
      </w:rPr>
    </w:lvl>
    <w:lvl w:ilvl="2" w:tplc="0D781FCE">
      <w:start w:val="1"/>
      <w:numFmt w:val="bullet"/>
      <w:lvlText w:val=""/>
      <w:lvlJc w:val="left"/>
      <w:pPr>
        <w:ind w:left="2160" w:hanging="360"/>
      </w:pPr>
      <w:rPr>
        <w:rFonts w:ascii="Wingdings" w:hAnsi="Wingdings" w:hint="default"/>
      </w:rPr>
    </w:lvl>
    <w:lvl w:ilvl="3" w:tplc="8948F9EE">
      <w:start w:val="1"/>
      <w:numFmt w:val="bullet"/>
      <w:lvlText w:val=""/>
      <w:lvlJc w:val="left"/>
      <w:pPr>
        <w:ind w:left="2880" w:hanging="360"/>
      </w:pPr>
      <w:rPr>
        <w:rFonts w:ascii="Symbol" w:hAnsi="Symbol" w:hint="default"/>
      </w:rPr>
    </w:lvl>
    <w:lvl w:ilvl="4" w:tplc="AF0CF0B2">
      <w:start w:val="1"/>
      <w:numFmt w:val="bullet"/>
      <w:lvlText w:val="o"/>
      <w:lvlJc w:val="left"/>
      <w:pPr>
        <w:ind w:left="3600" w:hanging="360"/>
      </w:pPr>
      <w:rPr>
        <w:rFonts w:ascii="Courier New" w:hAnsi="Courier New" w:hint="default"/>
      </w:rPr>
    </w:lvl>
    <w:lvl w:ilvl="5" w:tplc="A3602AFE">
      <w:start w:val="1"/>
      <w:numFmt w:val="bullet"/>
      <w:lvlText w:val=""/>
      <w:lvlJc w:val="left"/>
      <w:pPr>
        <w:ind w:left="4320" w:hanging="360"/>
      </w:pPr>
      <w:rPr>
        <w:rFonts w:ascii="Wingdings" w:hAnsi="Wingdings" w:hint="default"/>
      </w:rPr>
    </w:lvl>
    <w:lvl w:ilvl="6" w:tplc="D67030BA">
      <w:start w:val="1"/>
      <w:numFmt w:val="bullet"/>
      <w:lvlText w:val=""/>
      <w:lvlJc w:val="left"/>
      <w:pPr>
        <w:ind w:left="5040" w:hanging="360"/>
      </w:pPr>
      <w:rPr>
        <w:rFonts w:ascii="Symbol" w:hAnsi="Symbol" w:hint="default"/>
      </w:rPr>
    </w:lvl>
    <w:lvl w:ilvl="7" w:tplc="D1320C2E">
      <w:start w:val="1"/>
      <w:numFmt w:val="bullet"/>
      <w:lvlText w:val="o"/>
      <w:lvlJc w:val="left"/>
      <w:pPr>
        <w:ind w:left="5760" w:hanging="360"/>
      </w:pPr>
      <w:rPr>
        <w:rFonts w:ascii="Courier New" w:hAnsi="Courier New" w:hint="default"/>
      </w:rPr>
    </w:lvl>
    <w:lvl w:ilvl="8" w:tplc="B1302224">
      <w:start w:val="1"/>
      <w:numFmt w:val="bullet"/>
      <w:lvlText w:val=""/>
      <w:lvlJc w:val="left"/>
      <w:pPr>
        <w:ind w:left="6480" w:hanging="360"/>
      </w:pPr>
      <w:rPr>
        <w:rFonts w:ascii="Wingdings" w:hAnsi="Wingdings" w:hint="default"/>
      </w:rPr>
    </w:lvl>
  </w:abstractNum>
  <w:num w:numId="1" w16cid:durableId="1154225173">
    <w:abstractNumId w:val="0"/>
  </w:num>
  <w:num w:numId="2" w16cid:durableId="1345327618">
    <w:abstractNumId w:val="1"/>
  </w:num>
  <w:num w:numId="3" w16cid:durableId="1480075734">
    <w:abstractNumId w:val="3"/>
  </w:num>
  <w:num w:numId="4" w16cid:durableId="1840267115">
    <w:abstractNumId w:val="6"/>
  </w:num>
  <w:num w:numId="5" w16cid:durableId="1942907525">
    <w:abstractNumId w:val="7"/>
  </w:num>
  <w:num w:numId="6" w16cid:durableId="2062441600">
    <w:abstractNumId w:val="5"/>
  </w:num>
  <w:num w:numId="7" w16cid:durableId="353924920">
    <w:abstractNumId w:val="8"/>
  </w:num>
  <w:num w:numId="8" w16cid:durableId="791902855">
    <w:abstractNumId w:val="2"/>
  </w:num>
  <w:num w:numId="9" w16cid:durableId="9318201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0AF"/>
    <w:rsid w:val="000017E7"/>
    <w:rsid w:val="000037E1"/>
    <w:rsid w:val="000037F4"/>
    <w:rsid w:val="000117B2"/>
    <w:rsid w:val="000155DC"/>
    <w:rsid w:val="000175F7"/>
    <w:rsid w:val="00017612"/>
    <w:rsid w:val="0002233C"/>
    <w:rsid w:val="0002348D"/>
    <w:rsid w:val="00024A95"/>
    <w:rsid w:val="00032835"/>
    <w:rsid w:val="000337C1"/>
    <w:rsid w:val="000348C2"/>
    <w:rsid w:val="000357E1"/>
    <w:rsid w:val="00037D90"/>
    <w:rsid w:val="000406D2"/>
    <w:rsid w:val="000421E2"/>
    <w:rsid w:val="00042AEC"/>
    <w:rsid w:val="00046BE8"/>
    <w:rsid w:val="00047D29"/>
    <w:rsid w:val="0005140D"/>
    <w:rsid w:val="000610A6"/>
    <w:rsid w:val="00064477"/>
    <w:rsid w:val="00071B90"/>
    <w:rsid w:val="0007253D"/>
    <w:rsid w:val="00074445"/>
    <w:rsid w:val="000832BC"/>
    <w:rsid w:val="00085562"/>
    <w:rsid w:val="00092DFF"/>
    <w:rsid w:val="00094653"/>
    <w:rsid w:val="000957BC"/>
    <w:rsid w:val="000A07A1"/>
    <w:rsid w:val="000A0D0F"/>
    <w:rsid w:val="000A3D64"/>
    <w:rsid w:val="000A5716"/>
    <w:rsid w:val="000A73EE"/>
    <w:rsid w:val="000B0B3D"/>
    <w:rsid w:val="000B3E76"/>
    <w:rsid w:val="000B5CAF"/>
    <w:rsid w:val="000B7584"/>
    <w:rsid w:val="000B777C"/>
    <w:rsid w:val="000D2120"/>
    <w:rsid w:val="000D2E8F"/>
    <w:rsid w:val="000D3C5C"/>
    <w:rsid w:val="000E30D7"/>
    <w:rsid w:val="000E4033"/>
    <w:rsid w:val="000F1057"/>
    <w:rsid w:val="000F4C53"/>
    <w:rsid w:val="000F774B"/>
    <w:rsid w:val="001058A3"/>
    <w:rsid w:val="00112A09"/>
    <w:rsid w:val="001169BF"/>
    <w:rsid w:val="001176C5"/>
    <w:rsid w:val="00121968"/>
    <w:rsid w:val="00124467"/>
    <w:rsid w:val="00133E8E"/>
    <w:rsid w:val="001350B7"/>
    <w:rsid w:val="00137DB8"/>
    <w:rsid w:val="00142871"/>
    <w:rsid w:val="0014321A"/>
    <w:rsid w:val="0015186E"/>
    <w:rsid w:val="00153B03"/>
    <w:rsid w:val="0016010A"/>
    <w:rsid w:val="001608F5"/>
    <w:rsid w:val="00161CED"/>
    <w:rsid w:val="0016203F"/>
    <w:rsid w:val="0016429D"/>
    <w:rsid w:val="001657E0"/>
    <w:rsid w:val="00166681"/>
    <w:rsid w:val="00167143"/>
    <w:rsid w:val="00171B91"/>
    <w:rsid w:val="00171D4A"/>
    <w:rsid w:val="00171D77"/>
    <w:rsid w:val="001759B4"/>
    <w:rsid w:val="001845EC"/>
    <w:rsid w:val="00185A4C"/>
    <w:rsid w:val="00190E3B"/>
    <w:rsid w:val="001922EE"/>
    <w:rsid w:val="00195FA4"/>
    <w:rsid w:val="00196773"/>
    <w:rsid w:val="001A6F5A"/>
    <w:rsid w:val="001B3B68"/>
    <w:rsid w:val="001C1649"/>
    <w:rsid w:val="001C79AC"/>
    <w:rsid w:val="001D1BD0"/>
    <w:rsid w:val="001D3CC6"/>
    <w:rsid w:val="001E048A"/>
    <w:rsid w:val="001E04B8"/>
    <w:rsid w:val="001E3290"/>
    <w:rsid w:val="001F154B"/>
    <w:rsid w:val="001F401C"/>
    <w:rsid w:val="001F54C6"/>
    <w:rsid w:val="002002A0"/>
    <w:rsid w:val="00200713"/>
    <w:rsid w:val="0020681A"/>
    <w:rsid w:val="002101DF"/>
    <w:rsid w:val="002173B4"/>
    <w:rsid w:val="00221873"/>
    <w:rsid w:val="00224258"/>
    <w:rsid w:val="00224E18"/>
    <w:rsid w:val="002365F3"/>
    <w:rsid w:val="002370E7"/>
    <w:rsid w:val="00240D30"/>
    <w:rsid w:val="00241DD5"/>
    <w:rsid w:val="00247555"/>
    <w:rsid w:val="00250E06"/>
    <w:rsid w:val="0025200C"/>
    <w:rsid w:val="00253688"/>
    <w:rsid w:val="002538BA"/>
    <w:rsid w:val="00255B22"/>
    <w:rsid w:val="002560FB"/>
    <w:rsid w:val="00257675"/>
    <w:rsid w:val="002614B6"/>
    <w:rsid w:val="00263EC2"/>
    <w:rsid w:val="00265A3A"/>
    <w:rsid w:val="00265A43"/>
    <w:rsid w:val="00267D91"/>
    <w:rsid w:val="00270756"/>
    <w:rsid w:val="0027080E"/>
    <w:rsid w:val="002710D9"/>
    <w:rsid w:val="0027274D"/>
    <w:rsid w:val="00275957"/>
    <w:rsid w:val="00283B6E"/>
    <w:rsid w:val="002865F6"/>
    <w:rsid w:val="00290223"/>
    <w:rsid w:val="00290979"/>
    <w:rsid w:val="002A3042"/>
    <w:rsid w:val="002C6E56"/>
    <w:rsid w:val="002C736C"/>
    <w:rsid w:val="002D127B"/>
    <w:rsid w:val="002D14BE"/>
    <w:rsid w:val="002D36D3"/>
    <w:rsid w:val="002D5D5D"/>
    <w:rsid w:val="002D733E"/>
    <w:rsid w:val="002E0BCC"/>
    <w:rsid w:val="002E1B8F"/>
    <w:rsid w:val="002E3648"/>
    <w:rsid w:val="002E7853"/>
    <w:rsid w:val="002F00B7"/>
    <w:rsid w:val="002F4BE6"/>
    <w:rsid w:val="00305ECF"/>
    <w:rsid w:val="00307278"/>
    <w:rsid w:val="0031134B"/>
    <w:rsid w:val="00314089"/>
    <w:rsid w:val="0031469D"/>
    <w:rsid w:val="00314AFC"/>
    <w:rsid w:val="0031652C"/>
    <w:rsid w:val="00322E2F"/>
    <w:rsid w:val="00326037"/>
    <w:rsid w:val="00326205"/>
    <w:rsid w:val="003277C7"/>
    <w:rsid w:val="00331A3C"/>
    <w:rsid w:val="00332C4B"/>
    <w:rsid w:val="003343BC"/>
    <w:rsid w:val="003354E1"/>
    <w:rsid w:val="0034250B"/>
    <w:rsid w:val="00344BAB"/>
    <w:rsid w:val="00350FFD"/>
    <w:rsid w:val="003516CB"/>
    <w:rsid w:val="00351C68"/>
    <w:rsid w:val="00354A1A"/>
    <w:rsid w:val="00354AE4"/>
    <w:rsid w:val="003568F9"/>
    <w:rsid w:val="00357BC6"/>
    <w:rsid w:val="00363E2B"/>
    <w:rsid w:val="00364127"/>
    <w:rsid w:val="00365E16"/>
    <w:rsid w:val="00366887"/>
    <w:rsid w:val="00371003"/>
    <w:rsid w:val="00372A26"/>
    <w:rsid w:val="0037658B"/>
    <w:rsid w:val="00380283"/>
    <w:rsid w:val="00381245"/>
    <w:rsid w:val="00382AC1"/>
    <w:rsid w:val="00391B64"/>
    <w:rsid w:val="00392CBA"/>
    <w:rsid w:val="003943D9"/>
    <w:rsid w:val="003959CA"/>
    <w:rsid w:val="003A000E"/>
    <w:rsid w:val="003A3C13"/>
    <w:rsid w:val="003A4649"/>
    <w:rsid w:val="003A494E"/>
    <w:rsid w:val="003C2AC6"/>
    <w:rsid w:val="003C2D81"/>
    <w:rsid w:val="003C3F84"/>
    <w:rsid w:val="003C6F1F"/>
    <w:rsid w:val="003D14DA"/>
    <w:rsid w:val="003D230D"/>
    <w:rsid w:val="003E7467"/>
    <w:rsid w:val="003F3BBB"/>
    <w:rsid w:val="00404EA9"/>
    <w:rsid w:val="0040733A"/>
    <w:rsid w:val="0041395A"/>
    <w:rsid w:val="00415149"/>
    <w:rsid w:val="0041771F"/>
    <w:rsid w:val="0042010C"/>
    <w:rsid w:val="0042550D"/>
    <w:rsid w:val="0042765E"/>
    <w:rsid w:val="00433FAC"/>
    <w:rsid w:val="00434195"/>
    <w:rsid w:val="00434C01"/>
    <w:rsid w:val="00442738"/>
    <w:rsid w:val="00443BD3"/>
    <w:rsid w:val="00447B32"/>
    <w:rsid w:val="00451839"/>
    <w:rsid w:val="004557CB"/>
    <w:rsid w:val="004619B6"/>
    <w:rsid w:val="00462BBC"/>
    <w:rsid w:val="00464CDE"/>
    <w:rsid w:val="0046671F"/>
    <w:rsid w:val="00466BB8"/>
    <w:rsid w:val="0047275F"/>
    <w:rsid w:val="004767CD"/>
    <w:rsid w:val="004823F1"/>
    <w:rsid w:val="00487E7D"/>
    <w:rsid w:val="0049104F"/>
    <w:rsid w:val="00491A5F"/>
    <w:rsid w:val="00493E55"/>
    <w:rsid w:val="004A7C92"/>
    <w:rsid w:val="004B1112"/>
    <w:rsid w:val="004B1D97"/>
    <w:rsid w:val="004B2356"/>
    <w:rsid w:val="004B3118"/>
    <w:rsid w:val="004B51ED"/>
    <w:rsid w:val="004C3FEF"/>
    <w:rsid w:val="004C49AF"/>
    <w:rsid w:val="004D35DD"/>
    <w:rsid w:val="004E0184"/>
    <w:rsid w:val="004E0E7F"/>
    <w:rsid w:val="004E452A"/>
    <w:rsid w:val="004F2E73"/>
    <w:rsid w:val="004F5313"/>
    <w:rsid w:val="004F6832"/>
    <w:rsid w:val="005018CA"/>
    <w:rsid w:val="00501F23"/>
    <w:rsid w:val="00502B73"/>
    <w:rsid w:val="00505530"/>
    <w:rsid w:val="00510243"/>
    <w:rsid w:val="005136BE"/>
    <w:rsid w:val="00513D4D"/>
    <w:rsid w:val="00523DE5"/>
    <w:rsid w:val="005257C8"/>
    <w:rsid w:val="005318DA"/>
    <w:rsid w:val="00542B4C"/>
    <w:rsid w:val="0054318E"/>
    <w:rsid w:val="005465DF"/>
    <w:rsid w:val="00553703"/>
    <w:rsid w:val="00553BD4"/>
    <w:rsid w:val="005544F1"/>
    <w:rsid w:val="00556AAE"/>
    <w:rsid w:val="00562C55"/>
    <w:rsid w:val="005639FC"/>
    <w:rsid w:val="00564478"/>
    <w:rsid w:val="00572969"/>
    <w:rsid w:val="00574212"/>
    <w:rsid w:val="00575783"/>
    <w:rsid w:val="00575DED"/>
    <w:rsid w:val="005762F4"/>
    <w:rsid w:val="005769A5"/>
    <w:rsid w:val="00580296"/>
    <w:rsid w:val="005913E2"/>
    <w:rsid w:val="00592F32"/>
    <w:rsid w:val="00594DF2"/>
    <w:rsid w:val="0059674E"/>
    <w:rsid w:val="005A77DB"/>
    <w:rsid w:val="005B607F"/>
    <w:rsid w:val="005C07D3"/>
    <w:rsid w:val="005C0A79"/>
    <w:rsid w:val="005D0CE6"/>
    <w:rsid w:val="005E0985"/>
    <w:rsid w:val="005E140B"/>
    <w:rsid w:val="005E21D9"/>
    <w:rsid w:val="005E49B6"/>
    <w:rsid w:val="005E76B6"/>
    <w:rsid w:val="005F40CB"/>
    <w:rsid w:val="005F4DE4"/>
    <w:rsid w:val="0060138D"/>
    <w:rsid w:val="00611F1B"/>
    <w:rsid w:val="00614FE2"/>
    <w:rsid w:val="00615C6F"/>
    <w:rsid w:val="00617490"/>
    <w:rsid w:val="00621784"/>
    <w:rsid w:val="0062297B"/>
    <w:rsid w:val="00623B95"/>
    <w:rsid w:val="00627234"/>
    <w:rsid w:val="00634D16"/>
    <w:rsid w:val="00642FA0"/>
    <w:rsid w:val="00653841"/>
    <w:rsid w:val="00655AB1"/>
    <w:rsid w:val="006651EA"/>
    <w:rsid w:val="00672461"/>
    <w:rsid w:val="0067365C"/>
    <w:rsid w:val="00673EEC"/>
    <w:rsid w:val="006775D1"/>
    <w:rsid w:val="00681191"/>
    <w:rsid w:val="0068306F"/>
    <w:rsid w:val="006834DB"/>
    <w:rsid w:val="006917DE"/>
    <w:rsid w:val="00691C10"/>
    <w:rsid w:val="00692000"/>
    <w:rsid w:val="00693D2E"/>
    <w:rsid w:val="00696D57"/>
    <w:rsid w:val="006A22FF"/>
    <w:rsid w:val="006C2A13"/>
    <w:rsid w:val="006C3AB3"/>
    <w:rsid w:val="006D3F54"/>
    <w:rsid w:val="006D4FFE"/>
    <w:rsid w:val="006D5596"/>
    <w:rsid w:val="006D5DBE"/>
    <w:rsid w:val="006E1B99"/>
    <w:rsid w:val="006E1F1C"/>
    <w:rsid w:val="006E2B56"/>
    <w:rsid w:val="006E755F"/>
    <w:rsid w:val="006F22ED"/>
    <w:rsid w:val="006F5129"/>
    <w:rsid w:val="006F575F"/>
    <w:rsid w:val="006F62B7"/>
    <w:rsid w:val="0070066F"/>
    <w:rsid w:val="007037FB"/>
    <w:rsid w:val="0070480D"/>
    <w:rsid w:val="00710410"/>
    <w:rsid w:val="00713E14"/>
    <w:rsid w:val="00724FC9"/>
    <w:rsid w:val="00733496"/>
    <w:rsid w:val="007354B7"/>
    <w:rsid w:val="00737351"/>
    <w:rsid w:val="007411BF"/>
    <w:rsid w:val="00742F29"/>
    <w:rsid w:val="00746897"/>
    <w:rsid w:val="00746DC8"/>
    <w:rsid w:val="00751022"/>
    <w:rsid w:val="00754D17"/>
    <w:rsid w:val="00757D0B"/>
    <w:rsid w:val="007610A3"/>
    <w:rsid w:val="00762BE1"/>
    <w:rsid w:val="007645EA"/>
    <w:rsid w:val="00764A27"/>
    <w:rsid w:val="007669B9"/>
    <w:rsid w:val="00767C71"/>
    <w:rsid w:val="007721CC"/>
    <w:rsid w:val="00777807"/>
    <w:rsid w:val="007A038B"/>
    <w:rsid w:val="007A3B84"/>
    <w:rsid w:val="007B1B37"/>
    <w:rsid w:val="007B6414"/>
    <w:rsid w:val="007C4EA7"/>
    <w:rsid w:val="007C5BCB"/>
    <w:rsid w:val="007C651B"/>
    <w:rsid w:val="007D2739"/>
    <w:rsid w:val="007D31A6"/>
    <w:rsid w:val="007D461D"/>
    <w:rsid w:val="007E0B05"/>
    <w:rsid w:val="007E0E85"/>
    <w:rsid w:val="007E0F70"/>
    <w:rsid w:val="007E3B80"/>
    <w:rsid w:val="007E5578"/>
    <w:rsid w:val="007F0CFD"/>
    <w:rsid w:val="007F0FD8"/>
    <w:rsid w:val="007F1780"/>
    <w:rsid w:val="007F3726"/>
    <w:rsid w:val="007F48E1"/>
    <w:rsid w:val="007F5CCD"/>
    <w:rsid w:val="007F730D"/>
    <w:rsid w:val="00813B1C"/>
    <w:rsid w:val="0082016F"/>
    <w:rsid w:val="008238EC"/>
    <w:rsid w:val="00823950"/>
    <w:rsid w:val="00824BA6"/>
    <w:rsid w:val="00825D97"/>
    <w:rsid w:val="00831E74"/>
    <w:rsid w:val="00835C67"/>
    <w:rsid w:val="008441AA"/>
    <w:rsid w:val="0084574F"/>
    <w:rsid w:val="00845889"/>
    <w:rsid w:val="008504F8"/>
    <w:rsid w:val="00850E72"/>
    <w:rsid w:val="00855ACA"/>
    <w:rsid w:val="00857110"/>
    <w:rsid w:val="00860E06"/>
    <w:rsid w:val="00862CED"/>
    <w:rsid w:val="00866629"/>
    <w:rsid w:val="00866F4F"/>
    <w:rsid w:val="008724F4"/>
    <w:rsid w:val="0087539C"/>
    <w:rsid w:val="00882D7F"/>
    <w:rsid w:val="00883FDC"/>
    <w:rsid w:val="0088505E"/>
    <w:rsid w:val="008863F4"/>
    <w:rsid w:val="0089617B"/>
    <w:rsid w:val="008A24B3"/>
    <w:rsid w:val="008A32D8"/>
    <w:rsid w:val="008A68BB"/>
    <w:rsid w:val="008A7222"/>
    <w:rsid w:val="008A7AAD"/>
    <w:rsid w:val="008A7CC5"/>
    <w:rsid w:val="008B1D7D"/>
    <w:rsid w:val="008B38AF"/>
    <w:rsid w:val="008B6369"/>
    <w:rsid w:val="008C0806"/>
    <w:rsid w:val="008C4FD0"/>
    <w:rsid w:val="008D0896"/>
    <w:rsid w:val="008D1072"/>
    <w:rsid w:val="008D18A4"/>
    <w:rsid w:val="008D52E3"/>
    <w:rsid w:val="008D6722"/>
    <w:rsid w:val="008E7249"/>
    <w:rsid w:val="008E73A1"/>
    <w:rsid w:val="008F4F0F"/>
    <w:rsid w:val="009018DB"/>
    <w:rsid w:val="00905357"/>
    <w:rsid w:val="00905947"/>
    <w:rsid w:val="009110A4"/>
    <w:rsid w:val="00915241"/>
    <w:rsid w:val="00916748"/>
    <w:rsid w:val="00922176"/>
    <w:rsid w:val="009236A4"/>
    <w:rsid w:val="00923C8D"/>
    <w:rsid w:val="009244AA"/>
    <w:rsid w:val="00926668"/>
    <w:rsid w:val="00927D26"/>
    <w:rsid w:val="009333E9"/>
    <w:rsid w:val="00933B58"/>
    <w:rsid w:val="009368C5"/>
    <w:rsid w:val="00941964"/>
    <w:rsid w:val="0095180A"/>
    <w:rsid w:val="0096125D"/>
    <w:rsid w:val="00965752"/>
    <w:rsid w:val="00973266"/>
    <w:rsid w:val="00973FE9"/>
    <w:rsid w:val="009806EE"/>
    <w:rsid w:val="00981545"/>
    <w:rsid w:val="00994F4F"/>
    <w:rsid w:val="00995445"/>
    <w:rsid w:val="00996192"/>
    <w:rsid w:val="00997676"/>
    <w:rsid w:val="009B060D"/>
    <w:rsid w:val="009B6EF7"/>
    <w:rsid w:val="009C0682"/>
    <w:rsid w:val="009C2386"/>
    <w:rsid w:val="009C3B9D"/>
    <w:rsid w:val="009C44AD"/>
    <w:rsid w:val="009D47B1"/>
    <w:rsid w:val="009E2AC6"/>
    <w:rsid w:val="009E4598"/>
    <w:rsid w:val="009E47E2"/>
    <w:rsid w:val="009F281A"/>
    <w:rsid w:val="009F3EF2"/>
    <w:rsid w:val="00A00800"/>
    <w:rsid w:val="00A04260"/>
    <w:rsid w:val="00A0768F"/>
    <w:rsid w:val="00A11288"/>
    <w:rsid w:val="00A1344E"/>
    <w:rsid w:val="00A218BF"/>
    <w:rsid w:val="00A25E6A"/>
    <w:rsid w:val="00A27AE0"/>
    <w:rsid w:val="00A31DE4"/>
    <w:rsid w:val="00A33472"/>
    <w:rsid w:val="00A33909"/>
    <w:rsid w:val="00A415A5"/>
    <w:rsid w:val="00A422B7"/>
    <w:rsid w:val="00A430C9"/>
    <w:rsid w:val="00A431B6"/>
    <w:rsid w:val="00A45B99"/>
    <w:rsid w:val="00A54215"/>
    <w:rsid w:val="00A548F4"/>
    <w:rsid w:val="00A60E11"/>
    <w:rsid w:val="00A64A2E"/>
    <w:rsid w:val="00A70C39"/>
    <w:rsid w:val="00A72EB2"/>
    <w:rsid w:val="00A77D8C"/>
    <w:rsid w:val="00A90868"/>
    <w:rsid w:val="00A93EEE"/>
    <w:rsid w:val="00AA3983"/>
    <w:rsid w:val="00AA5DA7"/>
    <w:rsid w:val="00AB0AE3"/>
    <w:rsid w:val="00AB2173"/>
    <w:rsid w:val="00AB42F2"/>
    <w:rsid w:val="00AC3076"/>
    <w:rsid w:val="00AC35D9"/>
    <w:rsid w:val="00AC404D"/>
    <w:rsid w:val="00AC55E6"/>
    <w:rsid w:val="00AC68F4"/>
    <w:rsid w:val="00AC7123"/>
    <w:rsid w:val="00AD2B39"/>
    <w:rsid w:val="00AD4BD2"/>
    <w:rsid w:val="00AE08C0"/>
    <w:rsid w:val="00AF0BA6"/>
    <w:rsid w:val="00AF26ED"/>
    <w:rsid w:val="00AF3390"/>
    <w:rsid w:val="00B03FD4"/>
    <w:rsid w:val="00B048FA"/>
    <w:rsid w:val="00B06868"/>
    <w:rsid w:val="00B1100E"/>
    <w:rsid w:val="00B122BA"/>
    <w:rsid w:val="00B15BF2"/>
    <w:rsid w:val="00B15C3C"/>
    <w:rsid w:val="00B1685C"/>
    <w:rsid w:val="00B16C2A"/>
    <w:rsid w:val="00B24970"/>
    <w:rsid w:val="00B255DD"/>
    <w:rsid w:val="00B26DEF"/>
    <w:rsid w:val="00B27E5B"/>
    <w:rsid w:val="00B27EB8"/>
    <w:rsid w:val="00B302C1"/>
    <w:rsid w:val="00B34BF1"/>
    <w:rsid w:val="00B37A62"/>
    <w:rsid w:val="00B41AA3"/>
    <w:rsid w:val="00B42D84"/>
    <w:rsid w:val="00B442E5"/>
    <w:rsid w:val="00B44CFB"/>
    <w:rsid w:val="00B46F41"/>
    <w:rsid w:val="00B50F62"/>
    <w:rsid w:val="00B51338"/>
    <w:rsid w:val="00B52420"/>
    <w:rsid w:val="00B5486A"/>
    <w:rsid w:val="00B54A62"/>
    <w:rsid w:val="00B5710A"/>
    <w:rsid w:val="00B66DA6"/>
    <w:rsid w:val="00B70D63"/>
    <w:rsid w:val="00B738FF"/>
    <w:rsid w:val="00B825D3"/>
    <w:rsid w:val="00B86EB9"/>
    <w:rsid w:val="00B94CE1"/>
    <w:rsid w:val="00B97DCC"/>
    <w:rsid w:val="00BA0448"/>
    <w:rsid w:val="00BA22DD"/>
    <w:rsid w:val="00BA3AB5"/>
    <w:rsid w:val="00BA6394"/>
    <w:rsid w:val="00BA6B05"/>
    <w:rsid w:val="00BB16E4"/>
    <w:rsid w:val="00BB60E4"/>
    <w:rsid w:val="00BB6E24"/>
    <w:rsid w:val="00BC3DFB"/>
    <w:rsid w:val="00BD029F"/>
    <w:rsid w:val="00BD1AAB"/>
    <w:rsid w:val="00BE0B62"/>
    <w:rsid w:val="00BE353B"/>
    <w:rsid w:val="00BE3A41"/>
    <w:rsid w:val="00BF0AFD"/>
    <w:rsid w:val="00BF37C0"/>
    <w:rsid w:val="00C01743"/>
    <w:rsid w:val="00C01E7F"/>
    <w:rsid w:val="00C0570F"/>
    <w:rsid w:val="00C058C7"/>
    <w:rsid w:val="00C07627"/>
    <w:rsid w:val="00C17E04"/>
    <w:rsid w:val="00C220B6"/>
    <w:rsid w:val="00C22D46"/>
    <w:rsid w:val="00C25021"/>
    <w:rsid w:val="00C26BE4"/>
    <w:rsid w:val="00C348F5"/>
    <w:rsid w:val="00C35D3D"/>
    <w:rsid w:val="00C53277"/>
    <w:rsid w:val="00C54CAD"/>
    <w:rsid w:val="00C55CB4"/>
    <w:rsid w:val="00C5610F"/>
    <w:rsid w:val="00C56C0B"/>
    <w:rsid w:val="00C57333"/>
    <w:rsid w:val="00C6658F"/>
    <w:rsid w:val="00C77667"/>
    <w:rsid w:val="00C8089E"/>
    <w:rsid w:val="00C824D0"/>
    <w:rsid w:val="00C85142"/>
    <w:rsid w:val="00C87EAE"/>
    <w:rsid w:val="00C91102"/>
    <w:rsid w:val="00C92428"/>
    <w:rsid w:val="00C9250A"/>
    <w:rsid w:val="00C93243"/>
    <w:rsid w:val="00C958CE"/>
    <w:rsid w:val="00C96F69"/>
    <w:rsid w:val="00CA303E"/>
    <w:rsid w:val="00CA6E1B"/>
    <w:rsid w:val="00CB0FCF"/>
    <w:rsid w:val="00CC21E5"/>
    <w:rsid w:val="00CC59A7"/>
    <w:rsid w:val="00CD0698"/>
    <w:rsid w:val="00CD0A25"/>
    <w:rsid w:val="00CD259B"/>
    <w:rsid w:val="00CD2B90"/>
    <w:rsid w:val="00CD721F"/>
    <w:rsid w:val="00CD7FDD"/>
    <w:rsid w:val="00CE29BB"/>
    <w:rsid w:val="00CE51ED"/>
    <w:rsid w:val="00CE6C19"/>
    <w:rsid w:val="00CF1695"/>
    <w:rsid w:val="00D000A6"/>
    <w:rsid w:val="00D057C6"/>
    <w:rsid w:val="00D06618"/>
    <w:rsid w:val="00D12962"/>
    <w:rsid w:val="00D20A22"/>
    <w:rsid w:val="00D226A8"/>
    <w:rsid w:val="00D235AA"/>
    <w:rsid w:val="00D36656"/>
    <w:rsid w:val="00D4173F"/>
    <w:rsid w:val="00D42FF1"/>
    <w:rsid w:val="00D52000"/>
    <w:rsid w:val="00D56E83"/>
    <w:rsid w:val="00D615EE"/>
    <w:rsid w:val="00D65066"/>
    <w:rsid w:val="00D6755C"/>
    <w:rsid w:val="00D73564"/>
    <w:rsid w:val="00D74640"/>
    <w:rsid w:val="00D77173"/>
    <w:rsid w:val="00D8468F"/>
    <w:rsid w:val="00D850F2"/>
    <w:rsid w:val="00D925E5"/>
    <w:rsid w:val="00D92F24"/>
    <w:rsid w:val="00D9342D"/>
    <w:rsid w:val="00D95622"/>
    <w:rsid w:val="00D96532"/>
    <w:rsid w:val="00DA4540"/>
    <w:rsid w:val="00DA7513"/>
    <w:rsid w:val="00DB055A"/>
    <w:rsid w:val="00DB3F6A"/>
    <w:rsid w:val="00DC40DF"/>
    <w:rsid w:val="00DC702D"/>
    <w:rsid w:val="00DD7EC6"/>
    <w:rsid w:val="00DE18D6"/>
    <w:rsid w:val="00DE2F5F"/>
    <w:rsid w:val="00DE442E"/>
    <w:rsid w:val="00DE56B8"/>
    <w:rsid w:val="00DE61DC"/>
    <w:rsid w:val="00DE6834"/>
    <w:rsid w:val="00DE6C5C"/>
    <w:rsid w:val="00E020C3"/>
    <w:rsid w:val="00E02FD6"/>
    <w:rsid w:val="00E0406C"/>
    <w:rsid w:val="00E135A9"/>
    <w:rsid w:val="00E231AB"/>
    <w:rsid w:val="00E24D9F"/>
    <w:rsid w:val="00E264D6"/>
    <w:rsid w:val="00E26964"/>
    <w:rsid w:val="00E40578"/>
    <w:rsid w:val="00E440AD"/>
    <w:rsid w:val="00E50435"/>
    <w:rsid w:val="00E52CF5"/>
    <w:rsid w:val="00E56626"/>
    <w:rsid w:val="00E56E07"/>
    <w:rsid w:val="00E62E3A"/>
    <w:rsid w:val="00E66A8E"/>
    <w:rsid w:val="00E735D6"/>
    <w:rsid w:val="00E75B38"/>
    <w:rsid w:val="00E763E5"/>
    <w:rsid w:val="00E7739D"/>
    <w:rsid w:val="00E7787F"/>
    <w:rsid w:val="00E80A72"/>
    <w:rsid w:val="00E82207"/>
    <w:rsid w:val="00E8327B"/>
    <w:rsid w:val="00E84BF4"/>
    <w:rsid w:val="00E91705"/>
    <w:rsid w:val="00E91F9F"/>
    <w:rsid w:val="00E92E2F"/>
    <w:rsid w:val="00E94530"/>
    <w:rsid w:val="00E94EAF"/>
    <w:rsid w:val="00E95A40"/>
    <w:rsid w:val="00E971A4"/>
    <w:rsid w:val="00EA1E27"/>
    <w:rsid w:val="00EA3AF4"/>
    <w:rsid w:val="00EB0973"/>
    <w:rsid w:val="00EB2F95"/>
    <w:rsid w:val="00EB319E"/>
    <w:rsid w:val="00EB74FD"/>
    <w:rsid w:val="00EC0483"/>
    <w:rsid w:val="00EC2E67"/>
    <w:rsid w:val="00EC34EE"/>
    <w:rsid w:val="00ED030C"/>
    <w:rsid w:val="00ED5682"/>
    <w:rsid w:val="00EE195B"/>
    <w:rsid w:val="00EE250B"/>
    <w:rsid w:val="00EE66B3"/>
    <w:rsid w:val="00EF1EAF"/>
    <w:rsid w:val="00F033C2"/>
    <w:rsid w:val="00F11E8D"/>
    <w:rsid w:val="00F172DB"/>
    <w:rsid w:val="00F209BB"/>
    <w:rsid w:val="00F3599D"/>
    <w:rsid w:val="00F3736D"/>
    <w:rsid w:val="00F40ED2"/>
    <w:rsid w:val="00F40F6E"/>
    <w:rsid w:val="00F43997"/>
    <w:rsid w:val="00F462F1"/>
    <w:rsid w:val="00F47E80"/>
    <w:rsid w:val="00F502C2"/>
    <w:rsid w:val="00F51110"/>
    <w:rsid w:val="00F532EF"/>
    <w:rsid w:val="00F5403F"/>
    <w:rsid w:val="00F5652E"/>
    <w:rsid w:val="00F6125E"/>
    <w:rsid w:val="00F623CE"/>
    <w:rsid w:val="00F62E8E"/>
    <w:rsid w:val="00F64DCE"/>
    <w:rsid w:val="00F70D2F"/>
    <w:rsid w:val="00F7171F"/>
    <w:rsid w:val="00F71E2C"/>
    <w:rsid w:val="00F83534"/>
    <w:rsid w:val="00F85E81"/>
    <w:rsid w:val="00F85FD8"/>
    <w:rsid w:val="00F945F3"/>
    <w:rsid w:val="00F9782D"/>
    <w:rsid w:val="00FA2291"/>
    <w:rsid w:val="00FA34BA"/>
    <w:rsid w:val="00FA7D18"/>
    <w:rsid w:val="00FB5606"/>
    <w:rsid w:val="00FC043C"/>
    <w:rsid w:val="00FC1021"/>
    <w:rsid w:val="00FC1208"/>
    <w:rsid w:val="00FC1FEB"/>
    <w:rsid w:val="00FC3CE6"/>
    <w:rsid w:val="00FC52C8"/>
    <w:rsid w:val="00FC646E"/>
    <w:rsid w:val="00FD2425"/>
    <w:rsid w:val="00FD2658"/>
    <w:rsid w:val="00FD3885"/>
    <w:rsid w:val="00FD70AF"/>
    <w:rsid w:val="00FD7620"/>
    <w:rsid w:val="00FF0DFF"/>
    <w:rsid w:val="00FF725B"/>
    <w:rsid w:val="02A9FCC1"/>
    <w:rsid w:val="04DEBA60"/>
    <w:rsid w:val="05052162"/>
    <w:rsid w:val="06E1960A"/>
    <w:rsid w:val="080385F8"/>
    <w:rsid w:val="09288EF5"/>
    <w:rsid w:val="09A28CDA"/>
    <w:rsid w:val="0C2B9330"/>
    <w:rsid w:val="0C97B58A"/>
    <w:rsid w:val="0CDFA201"/>
    <w:rsid w:val="110FE99E"/>
    <w:rsid w:val="11748D86"/>
    <w:rsid w:val="2112B524"/>
    <w:rsid w:val="2527960D"/>
    <w:rsid w:val="25414CD8"/>
    <w:rsid w:val="2919790B"/>
    <w:rsid w:val="2C554D39"/>
    <w:rsid w:val="2D957785"/>
    <w:rsid w:val="2FDC49C0"/>
    <w:rsid w:val="316B8B06"/>
    <w:rsid w:val="35F92EDE"/>
    <w:rsid w:val="38C5BD2D"/>
    <w:rsid w:val="3C9B548E"/>
    <w:rsid w:val="3EEC0FF9"/>
    <w:rsid w:val="3F83959B"/>
    <w:rsid w:val="43E6DF13"/>
    <w:rsid w:val="47515BA9"/>
    <w:rsid w:val="4D7F2D3B"/>
    <w:rsid w:val="4FAFD1D8"/>
    <w:rsid w:val="4FD1A170"/>
    <w:rsid w:val="4FE58A7F"/>
    <w:rsid w:val="526AB445"/>
    <w:rsid w:val="534A98D0"/>
    <w:rsid w:val="53F7B65E"/>
    <w:rsid w:val="55E78CA8"/>
    <w:rsid w:val="566960CD"/>
    <w:rsid w:val="580FAC7E"/>
    <w:rsid w:val="583FCDD4"/>
    <w:rsid w:val="58AAA1E5"/>
    <w:rsid w:val="5ADB1405"/>
    <w:rsid w:val="5AE9A188"/>
    <w:rsid w:val="5B9E769A"/>
    <w:rsid w:val="5D40D1DC"/>
    <w:rsid w:val="5D4C49EC"/>
    <w:rsid w:val="5F29B83D"/>
    <w:rsid w:val="60F3ED07"/>
    <w:rsid w:val="614893EF"/>
    <w:rsid w:val="614BCCC0"/>
    <w:rsid w:val="620E872D"/>
    <w:rsid w:val="62EB100F"/>
    <w:rsid w:val="632F381F"/>
    <w:rsid w:val="63A038A6"/>
    <w:rsid w:val="64C64B97"/>
    <w:rsid w:val="67E29ECC"/>
    <w:rsid w:val="6B11CC19"/>
    <w:rsid w:val="6B74FCCF"/>
    <w:rsid w:val="6C961D05"/>
    <w:rsid w:val="713FDD7A"/>
    <w:rsid w:val="71A341AF"/>
    <w:rsid w:val="71A95199"/>
    <w:rsid w:val="73AA8EE9"/>
    <w:rsid w:val="77143974"/>
    <w:rsid w:val="7B4BCD6B"/>
    <w:rsid w:val="7C153549"/>
    <w:rsid w:val="7C43F1E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6681F"/>
  <w15:chartTrackingRefBased/>
  <w15:docId w15:val="{BD30E367-5489-4202-8D8E-2C2BD722E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uiPriority w:val="9"/>
    <w:qFormat/>
    <w:rsid w:val="00FD70A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uiPriority w:val="9"/>
    <w:semiHidden/>
    <w:unhideWhenUsed/>
    <w:qFormat/>
    <w:rsid w:val="00FD70A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uiPriority w:val="9"/>
    <w:semiHidden/>
    <w:unhideWhenUsed/>
    <w:qFormat/>
    <w:rsid w:val="00FD70AF"/>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uiPriority w:val="9"/>
    <w:semiHidden/>
    <w:unhideWhenUsed/>
    <w:qFormat/>
    <w:rsid w:val="00FD70AF"/>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uiPriority w:val="9"/>
    <w:semiHidden/>
    <w:unhideWhenUsed/>
    <w:qFormat/>
    <w:rsid w:val="00FD70AF"/>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uiPriority w:val="9"/>
    <w:semiHidden/>
    <w:unhideWhenUsed/>
    <w:qFormat/>
    <w:rsid w:val="00FD70AF"/>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uiPriority w:val="9"/>
    <w:semiHidden/>
    <w:unhideWhenUsed/>
    <w:qFormat/>
    <w:rsid w:val="00FD70AF"/>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uiPriority w:val="9"/>
    <w:semiHidden/>
    <w:unhideWhenUsed/>
    <w:qFormat/>
    <w:rsid w:val="00FD70AF"/>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uiPriority w:val="9"/>
    <w:semiHidden/>
    <w:unhideWhenUsed/>
    <w:qFormat/>
    <w:rsid w:val="00FD70AF"/>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FD70AF"/>
    <w:pPr>
      <w:ind w:left="720"/>
      <w:contextualSpacing/>
    </w:pPr>
  </w:style>
  <w:style w:type="character" w:styleId="Accentuationintense">
    <w:name w:val="Intense Emphasis"/>
    <w:basedOn w:val="Policepardfaut"/>
    <w:uiPriority w:val="21"/>
    <w:qFormat/>
    <w:rsid w:val="00FD70AF"/>
    <w:rPr>
      <w:i/>
      <w:iCs/>
      <w:color w:val="0F4761" w:themeColor="accent1" w:themeShade="BF"/>
    </w:rPr>
  </w:style>
  <w:style w:type="character" w:styleId="Rfrenceintense">
    <w:name w:val="Intense Reference"/>
    <w:basedOn w:val="Policepardfaut"/>
    <w:uiPriority w:val="32"/>
    <w:qFormat/>
    <w:rsid w:val="00FD70AF"/>
    <w:rPr>
      <w:b/>
      <w:bCs/>
      <w:smallCaps/>
      <w:color w:val="0F4761" w:themeColor="accent1" w:themeShade="BF"/>
      <w:spacing w:val="5"/>
    </w:rPr>
  </w:style>
  <w:style w:type="paragraph" w:styleId="Rvision">
    <w:name w:val="Revision"/>
    <w:hidden/>
    <w:uiPriority w:val="99"/>
    <w:semiHidden/>
    <w:rsid w:val="00BA0448"/>
    <w:pPr>
      <w:spacing w:after="0" w:line="240" w:lineRule="auto"/>
    </w:pPr>
  </w:style>
  <w:style w:type="paragraph" w:customStyle="1" w:styleId="Default">
    <w:name w:val="Default"/>
    <w:rsid w:val="00E62E3A"/>
    <w:pPr>
      <w:autoSpaceDE w:val="0"/>
      <w:autoSpaceDN w:val="0"/>
      <w:adjustRightInd w:val="0"/>
      <w:spacing w:after="0" w:line="240" w:lineRule="auto"/>
    </w:pPr>
    <w:rPr>
      <w:rFonts w:ascii="Arial" w:hAnsi="Arial" w:cs="Arial"/>
      <w:color w:val="000000"/>
      <w:kern w:val="0"/>
    </w:rPr>
  </w:style>
  <w:style w:type="character" w:customStyle="1" w:styleId="Titre1Car">
    <w:name w:val="Titre 1 Car"/>
    <w:basedOn w:val="Policepardfaut"/>
    <w:uiPriority w:val="9"/>
    <w:rsid w:val="00850E72"/>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uiPriority w:val="9"/>
    <w:semiHidden/>
    <w:rsid w:val="00850E72"/>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uiPriority w:val="9"/>
    <w:semiHidden/>
    <w:rsid w:val="00850E72"/>
    <w:rPr>
      <w:rFonts w:eastAsiaTheme="majorEastAsia" w:cstheme="majorBidi"/>
      <w:color w:val="0F4761" w:themeColor="accent1" w:themeShade="BF"/>
      <w:sz w:val="28"/>
      <w:szCs w:val="28"/>
    </w:rPr>
  </w:style>
  <w:style w:type="character" w:customStyle="1" w:styleId="Titre4Car">
    <w:name w:val="Titre 4 Car"/>
    <w:basedOn w:val="Policepardfaut"/>
    <w:uiPriority w:val="9"/>
    <w:semiHidden/>
    <w:rsid w:val="00850E72"/>
    <w:rPr>
      <w:rFonts w:eastAsiaTheme="majorEastAsia" w:cstheme="majorBidi"/>
      <w:i/>
      <w:iCs/>
      <w:color w:val="0F4761" w:themeColor="accent1" w:themeShade="BF"/>
    </w:rPr>
  </w:style>
  <w:style w:type="character" w:customStyle="1" w:styleId="Titre5Car">
    <w:name w:val="Titre 5 Car"/>
    <w:basedOn w:val="Policepardfaut"/>
    <w:uiPriority w:val="9"/>
    <w:semiHidden/>
    <w:rsid w:val="00850E72"/>
    <w:rPr>
      <w:rFonts w:eastAsiaTheme="majorEastAsia" w:cstheme="majorBidi"/>
      <w:color w:val="0F4761" w:themeColor="accent1" w:themeShade="BF"/>
    </w:rPr>
  </w:style>
  <w:style w:type="character" w:customStyle="1" w:styleId="Titre6Car">
    <w:name w:val="Titre 6 Car"/>
    <w:basedOn w:val="Policepardfaut"/>
    <w:uiPriority w:val="9"/>
    <w:semiHidden/>
    <w:rsid w:val="00850E72"/>
    <w:rPr>
      <w:rFonts w:eastAsiaTheme="majorEastAsia" w:cstheme="majorBidi"/>
      <w:i/>
      <w:iCs/>
      <w:color w:val="595959" w:themeColor="text1" w:themeTint="A6"/>
    </w:rPr>
  </w:style>
  <w:style w:type="character" w:customStyle="1" w:styleId="Titre7Car">
    <w:name w:val="Titre 7 Car"/>
    <w:basedOn w:val="Policepardfaut"/>
    <w:uiPriority w:val="9"/>
    <w:semiHidden/>
    <w:rsid w:val="00850E72"/>
    <w:rPr>
      <w:rFonts w:eastAsiaTheme="majorEastAsia" w:cstheme="majorBidi"/>
      <w:color w:val="595959" w:themeColor="text1" w:themeTint="A6"/>
    </w:rPr>
  </w:style>
  <w:style w:type="character" w:customStyle="1" w:styleId="Titre8Car">
    <w:name w:val="Titre 8 Car"/>
    <w:basedOn w:val="Policepardfaut"/>
    <w:uiPriority w:val="9"/>
    <w:semiHidden/>
    <w:rsid w:val="00850E72"/>
    <w:rPr>
      <w:rFonts w:eastAsiaTheme="majorEastAsia" w:cstheme="majorBidi"/>
      <w:i/>
      <w:iCs/>
      <w:color w:val="272727" w:themeColor="text1" w:themeTint="D8"/>
    </w:rPr>
  </w:style>
  <w:style w:type="character" w:customStyle="1" w:styleId="Titre9Car">
    <w:name w:val="Titre 9 Car"/>
    <w:basedOn w:val="Policepardfaut"/>
    <w:uiPriority w:val="9"/>
    <w:semiHidden/>
    <w:rsid w:val="00850E72"/>
    <w:rPr>
      <w:rFonts w:eastAsiaTheme="majorEastAsia" w:cstheme="majorBidi"/>
      <w:color w:val="272727" w:themeColor="text1" w:themeTint="D8"/>
    </w:rPr>
  </w:style>
  <w:style w:type="character" w:customStyle="1" w:styleId="TitreCar">
    <w:name w:val="Titre Car"/>
    <w:basedOn w:val="Policepardfaut"/>
    <w:uiPriority w:val="10"/>
    <w:rsid w:val="00850E72"/>
    <w:rPr>
      <w:rFonts w:asciiTheme="majorHAnsi" w:eastAsiaTheme="majorEastAsia" w:hAnsiTheme="majorHAnsi" w:cstheme="majorBidi"/>
      <w:spacing w:val="-10"/>
      <w:kern w:val="28"/>
      <w:sz w:val="56"/>
      <w:szCs w:val="56"/>
    </w:rPr>
  </w:style>
  <w:style w:type="character" w:customStyle="1" w:styleId="Sous-titreCar">
    <w:name w:val="Sous-titre Car"/>
    <w:basedOn w:val="Policepardfaut"/>
    <w:uiPriority w:val="11"/>
    <w:rsid w:val="00850E72"/>
    <w:rPr>
      <w:rFonts w:eastAsiaTheme="majorEastAsia" w:cstheme="majorBidi"/>
      <w:color w:val="595959" w:themeColor="text1" w:themeTint="A6"/>
      <w:spacing w:val="15"/>
      <w:sz w:val="28"/>
      <w:szCs w:val="28"/>
    </w:rPr>
  </w:style>
  <w:style w:type="character" w:customStyle="1" w:styleId="CitationCar">
    <w:name w:val="Citation Car"/>
    <w:basedOn w:val="Policepardfaut"/>
    <w:uiPriority w:val="29"/>
    <w:rsid w:val="00850E72"/>
    <w:rPr>
      <w:i/>
      <w:iCs/>
      <w:color w:val="404040" w:themeColor="text1" w:themeTint="BF"/>
    </w:rPr>
  </w:style>
  <w:style w:type="character" w:customStyle="1" w:styleId="CitationintenseCar">
    <w:name w:val="Citation intense Car"/>
    <w:basedOn w:val="Policepardfaut"/>
    <w:uiPriority w:val="30"/>
    <w:rsid w:val="00850E72"/>
    <w:rPr>
      <w:i/>
      <w:iCs/>
      <w:color w:val="0F4761" w:themeColor="accent1" w:themeShade="BF"/>
    </w:rPr>
  </w:style>
  <w:style w:type="character" w:customStyle="1" w:styleId="CorpsdetexteCar">
    <w:name w:val="Corps de texte Car"/>
    <w:basedOn w:val="Policepardfaut"/>
    <w:uiPriority w:val="99"/>
    <w:rsid w:val="00850E72"/>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b1b820adfd3e4a078472514c1a5cb5ff xmlns="87037488-ec5d-4aba-84c2-9b1d22638e8e">
      <Terms xmlns="http://schemas.microsoft.com/office/infopath/2007/PartnerControls"/>
    </b1b820adfd3e4a078472514c1a5cb5ff>
    <lcf76f155ced4ddcb4097134ff3c332f xmlns="982a28fe-fe5b-4fe9-83a4-eeb04a422cb4">
      <Terms xmlns="http://schemas.microsoft.com/office/infopath/2007/PartnerControls"/>
    </lcf76f155ced4ddcb4097134ff3c332f>
    <TaxCatchAll xmlns="87037488-ec5d-4aba-84c2-9b1d22638e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A1B38EA5B8BE46AB4D003002AD3CFD" ma:contentTypeVersion="14" ma:contentTypeDescription="Crée un document." ma:contentTypeScope="" ma:versionID="1108fe847d35d43a9ca08f5558323417">
  <xsd:schema xmlns:xsd="http://www.w3.org/2001/XMLSchema" xmlns:xs="http://www.w3.org/2001/XMLSchema" xmlns:p="http://schemas.microsoft.com/office/2006/metadata/properties" xmlns:ns2="87037488-ec5d-4aba-84c2-9b1d22638e8e" xmlns:ns3="37aee6d5-c95d-4103-8abb-38107e6f86e9" xmlns:ns4="982a28fe-fe5b-4fe9-83a4-eeb04a422cb4" targetNamespace="http://schemas.microsoft.com/office/2006/metadata/properties" ma:root="true" ma:fieldsID="7abf02adc4f7a0c9c8a761ddb799b732" ns2:_="" ns3:_="" ns4:_="">
    <xsd:import namespace="87037488-ec5d-4aba-84c2-9b1d22638e8e"/>
    <xsd:import namespace="37aee6d5-c95d-4103-8abb-38107e6f86e9"/>
    <xsd:import namespace="982a28fe-fe5b-4fe9-83a4-eeb04a422cb4"/>
    <xsd:element name="properties">
      <xsd:complexType>
        <xsd:sequence>
          <xsd:element name="documentManagement">
            <xsd:complexType>
              <xsd:all>
                <xsd:element ref="ns2:b1b820adfd3e4a078472514c1a5cb5ff" minOccurs="0"/>
                <xsd:element ref="ns2:TaxCatchAll" minOccurs="0"/>
                <xsd:element ref="ns2:TaxCatchAllLabel" minOccurs="0"/>
                <xsd:element ref="ns3:SharedWithUsers" minOccurs="0"/>
                <xsd:element ref="ns3:SharedWithDetails" minOccurs="0"/>
                <xsd:element ref="ns4:MediaServiceMetadata" minOccurs="0"/>
                <xsd:element ref="ns4:MediaServiceFastMetadata" minOccurs="0"/>
                <xsd:element ref="ns4:MediaServiceAutoKeyPoints" minOccurs="0"/>
                <xsd:element ref="ns4:MediaServiceKeyPoints" minOccurs="0"/>
                <xsd:element ref="ns4:lcf76f155ced4ddcb4097134ff3c332f" minOccurs="0"/>
                <xsd:element ref="ns4:MediaServiceGenerationTime" minOccurs="0"/>
                <xsd:element ref="ns4:MediaServiceEventHashCode"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37488-ec5d-4aba-84c2-9b1d22638e8e" elementFormDefault="qualified">
    <xsd:import namespace="http://schemas.microsoft.com/office/2006/documentManagement/types"/>
    <xsd:import namespace="http://schemas.microsoft.com/office/infopath/2007/PartnerControls"/>
    <xsd:element name="b1b820adfd3e4a078472514c1a5cb5ff" ma:index="8" nillable="true" ma:taxonomy="true" ma:internalName="b1b820adfd3e4a078472514c1a5cb5ff" ma:taxonomyFieldName="Security_x0020_Classification" ma:displayName="Security Classification" ma:default="" ma:fieldId="{b1b820ad-fd3e-4a07-8472-514c1a5cb5ff}" ma:sspId="3bf472f7-a010-4b5a-bb99-a26ed4c99680" ma:termSetId="0c0ba91f-ee81-4a79-83f6-c19eebf2f16f"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d566025d-969e-4917-aae2-16f97858e947}" ma:internalName="TaxCatchAll" ma:showField="CatchAllData" ma:web="37aee6d5-c95d-4103-8abb-38107e6f86e9">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d566025d-969e-4917-aae2-16f97858e947}" ma:internalName="TaxCatchAllLabel" ma:readOnly="true" ma:showField="CatchAllDataLabel" ma:web="37aee6d5-c95d-4103-8abb-38107e6f86e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7aee6d5-c95d-4103-8abb-38107e6f86e9"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2a28fe-fe5b-4fe9-83a4-eeb04a422cb4"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3bf472f7-a010-4b5a-bb99-a26ed4c99680" ma:termSetId="09814cd3-568e-fe90-9814-8d621ff8fb84" ma:anchorId="fba54fb3-c3e1-fe81-a776-ca4b69148c4d" ma:open="true" ma:isKeyword="false">
      <xsd:complexType>
        <xsd:sequence>
          <xsd:element ref="pc:Terms" minOccurs="0" maxOccurs="1"/>
        </xsd:sequence>
      </xsd:complex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bf472f7-a010-4b5a-bb99-a26ed4c99680"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894042-347C-43F0-A5DE-F6E6EC39352D}">
  <ds:schemaRefs>
    <ds:schemaRef ds:uri="http://schemas.microsoft.com/office/2006/metadata/properties"/>
    <ds:schemaRef ds:uri="http://schemas.microsoft.com/office/infopath/2007/PartnerControls"/>
    <ds:schemaRef ds:uri="87037488-ec5d-4aba-84c2-9b1d22638e8e"/>
    <ds:schemaRef ds:uri="982a28fe-fe5b-4fe9-83a4-eeb04a422cb4"/>
  </ds:schemaRefs>
</ds:datastoreItem>
</file>

<file path=customXml/itemProps2.xml><?xml version="1.0" encoding="utf-8"?>
<ds:datastoreItem xmlns:ds="http://schemas.openxmlformats.org/officeDocument/2006/customXml" ds:itemID="{3F531193-4604-4CC1-87D4-80DF7C33A9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037488-ec5d-4aba-84c2-9b1d22638e8e"/>
    <ds:schemaRef ds:uri="37aee6d5-c95d-4103-8abb-38107e6f86e9"/>
    <ds:schemaRef ds:uri="982a28fe-fe5b-4fe9-83a4-eeb04a422c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59C3B5-BA45-4AF0-B8E8-7629085719D3}">
  <ds:schemaRefs>
    <ds:schemaRef ds:uri="Microsoft.SharePoint.Taxonomy.ContentTypeSync"/>
  </ds:schemaRefs>
</ds:datastoreItem>
</file>

<file path=customXml/itemProps4.xml><?xml version="1.0" encoding="utf-8"?>
<ds:datastoreItem xmlns:ds="http://schemas.openxmlformats.org/officeDocument/2006/customXml" ds:itemID="{ED3956F9-7D28-40EE-ABA6-0933CD5D108B}">
  <ds:schemaRefs>
    <ds:schemaRef ds:uri="http://schemas.microsoft.com/sharepoint/v3/contenttype/forms"/>
  </ds:schemaRefs>
</ds:datastoreItem>
</file>

<file path=docMetadata/LabelInfo.xml><?xml version="1.0" encoding="utf-8"?>
<clbl:labelList xmlns:clbl="http://schemas.microsoft.com/office/2020/mipLabelMetadata">
  <clbl:label id="{0a9b9e15-83d2-4075-9282-a04e05c6580a}" enabled="1" method="Standard" siteId="{24139d14-c62c-4c47-8bdd-ce71ea1d50cf}"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921</Words>
  <Characters>4986</Characters>
  <Application>Microsoft Office Word</Application>
  <DocSecurity>0</DocSecurity>
  <Lines>86</Lines>
  <Paragraphs>30</Paragraphs>
  <ScaleCrop>false</ScaleCrop>
  <Company/>
  <LinksUpToDate>false</LinksUpToDate>
  <CharactersWithSpaces>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LACOMBE Sebastien (ENGIE SA)</dc:creator>
  <cp:keywords/>
  <dc:description/>
  <cp:lastModifiedBy>LACOMBE Sebastien (ENGIE SA)</cp:lastModifiedBy>
  <cp:revision>4</cp:revision>
  <cp:lastPrinted>2025-09-18T01:04:00Z</cp:lastPrinted>
  <dcterms:created xsi:type="dcterms:W3CDTF">2025-09-16T09:51:00Z</dcterms:created>
  <dcterms:modified xsi:type="dcterms:W3CDTF">2026-03-20T07:21:00Z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0x01010018A1B38EA5B8BE46AB4D003002AD3CFD</vt:lpwstr>
  </property>
  <property fmtid="{D5CDD505-2E9C-101B-9397-08002B2CF9AE}" pid="3" name="MediaServiceImageTags">
    <vt:lpwstr/>
  </property>
  <property fmtid="{D5CDD505-2E9C-101B-9397-08002B2CF9AE}" pid="4" name="Security_x0020_Classification">
    <vt:lpwstr/>
  </property>
  <property fmtid="{D5CDD505-2E9C-101B-9397-08002B2CF9AE}" pid="5" name="Security Classification">
    <vt:lpwstr/>
  </property>
  <property fmtid="{D5CDD505-2E9C-101B-9397-08002B2CF9AE}" pid="6" name="docLang">
    <vt:lpwstr>fr</vt:lpwstr>
  </property>
</Properties>
</file>